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7964A" w14:textId="77777777" w:rsidR="00935CB2" w:rsidRDefault="00935CB2" w:rsidP="00935CB2">
      <w:pPr>
        <w:jc w:val="both"/>
        <w:rPr>
          <w:rFonts w:ascii="Arial" w:hAnsi="Arial" w:cs="Arial"/>
        </w:rPr>
      </w:pPr>
      <w:bookmarkStart w:id="0" w:name="_GoBack"/>
      <w:bookmarkEnd w:id="0"/>
      <w:r w:rsidRPr="00935CB2">
        <w:rPr>
          <w:rFonts w:ascii="Arial" w:hAnsi="Arial" w:cs="Arial"/>
        </w:rPr>
        <w:t>Chief Officers’ Response:</w:t>
      </w:r>
      <w:r w:rsidRPr="00935CB2">
        <w:rPr>
          <w:rFonts w:ascii="Arial" w:hAnsi="Arial" w:cs="Arial"/>
        </w:rPr>
        <w:tab/>
      </w:r>
      <w:r w:rsidRPr="00935CB2">
        <w:rPr>
          <w:rFonts w:ascii="Arial" w:hAnsi="Arial" w:cs="Arial"/>
        </w:rPr>
        <w:tab/>
        <w:t xml:space="preserve">                                                                            </w:t>
      </w:r>
    </w:p>
    <w:p w14:paraId="72DD5BFD" w14:textId="77777777" w:rsidR="003D7D90" w:rsidRDefault="008A6256" w:rsidP="00935CB2">
      <w:pPr>
        <w:jc w:val="both"/>
        <w:rPr>
          <w:rFonts w:ascii="Arial" w:hAnsi="Arial" w:cs="Arial"/>
          <w:b/>
        </w:rPr>
      </w:pPr>
      <w:r>
        <w:rPr>
          <w:rFonts w:ascii="Arial" w:hAnsi="Arial" w:cs="Arial"/>
          <w:b/>
        </w:rPr>
        <w:t xml:space="preserve">Review title:  </w:t>
      </w:r>
      <w:r w:rsidR="003D7D90">
        <w:rPr>
          <w:rFonts w:ascii="Arial" w:hAnsi="Arial" w:cs="Arial"/>
          <w:b/>
        </w:rPr>
        <w:t>PAC1-2018 Review of eGov Follow Up</w:t>
      </w:r>
      <w:r w:rsidR="00236D06">
        <w:rPr>
          <w:rFonts w:ascii="Arial" w:hAnsi="Arial" w:cs="Arial"/>
          <w:b/>
        </w:rPr>
        <w:t xml:space="preserve"> Report</w:t>
      </w:r>
    </w:p>
    <w:p w14:paraId="311EE136" w14:textId="77777777" w:rsidR="003D7D90" w:rsidRPr="0091449F" w:rsidRDefault="003D7D90" w:rsidP="003D7D90">
      <w:pPr>
        <w:autoSpaceDE w:val="0"/>
        <w:autoSpaceDN w:val="0"/>
        <w:adjustRightInd w:val="0"/>
        <w:jc w:val="both"/>
        <w:rPr>
          <w:rFonts w:ascii="Arial" w:hAnsi="Arial" w:cs="Arial"/>
          <w:b/>
        </w:rPr>
      </w:pPr>
      <w:r w:rsidRPr="0091449F">
        <w:rPr>
          <w:rFonts w:ascii="Arial" w:hAnsi="Arial" w:cs="Arial"/>
          <w:b/>
        </w:rPr>
        <w:t xml:space="preserve">One-government </w:t>
      </w:r>
    </w:p>
    <w:p w14:paraId="08B2A877" w14:textId="77777777" w:rsidR="003D7D90" w:rsidRDefault="003D7D90" w:rsidP="003D7D90">
      <w:pPr>
        <w:autoSpaceDE w:val="0"/>
        <w:autoSpaceDN w:val="0"/>
        <w:adjustRightInd w:val="0"/>
        <w:jc w:val="both"/>
        <w:rPr>
          <w:rFonts w:ascii="Arial" w:hAnsi="Arial" w:cs="Arial"/>
        </w:rPr>
      </w:pPr>
      <w:r>
        <w:rPr>
          <w:rFonts w:ascii="Arial" w:hAnsi="Arial" w:cs="Arial"/>
        </w:rPr>
        <w:t>The Public Accounts Committee has said in its report that it wants to see cross-working between departments, which is essential to break down the ‘silo’ mentality of individual departments.</w:t>
      </w:r>
    </w:p>
    <w:p w14:paraId="48F59A86" w14:textId="77777777" w:rsidR="003D7D90" w:rsidRPr="00977D5E" w:rsidRDefault="003D7D90" w:rsidP="003D7D90">
      <w:pPr>
        <w:jc w:val="both"/>
        <w:rPr>
          <w:rFonts w:ascii="Arial" w:hAnsi="Arial" w:cs="Arial"/>
        </w:rPr>
      </w:pPr>
      <w:r>
        <w:rPr>
          <w:rFonts w:ascii="Arial" w:hAnsi="Arial" w:cs="Arial"/>
        </w:rPr>
        <w:t>The e-Gov p</w:t>
      </w:r>
      <w:r w:rsidRPr="00977D5E">
        <w:rPr>
          <w:rFonts w:ascii="Arial" w:hAnsi="Arial" w:cs="Arial"/>
        </w:rPr>
        <w:t xml:space="preserve">rogramme exemplifies </w:t>
      </w:r>
      <w:r>
        <w:rPr>
          <w:rFonts w:ascii="Arial" w:hAnsi="Arial" w:cs="Arial"/>
        </w:rPr>
        <w:t xml:space="preserve">cross-departmental working </w:t>
      </w:r>
      <w:r w:rsidRPr="00977D5E">
        <w:rPr>
          <w:rFonts w:ascii="Arial" w:hAnsi="Arial" w:cs="Arial"/>
        </w:rPr>
        <w:t>in its approach</w:t>
      </w:r>
      <w:r>
        <w:rPr>
          <w:rFonts w:ascii="Arial" w:hAnsi="Arial" w:cs="Arial"/>
        </w:rPr>
        <w:t xml:space="preserve">. The </w:t>
      </w:r>
      <w:r w:rsidRPr="00977D5E">
        <w:rPr>
          <w:rFonts w:ascii="Arial" w:hAnsi="Arial" w:cs="Arial"/>
        </w:rPr>
        <w:t xml:space="preserve">Design Authority </w:t>
      </w:r>
      <w:r>
        <w:rPr>
          <w:rFonts w:ascii="Arial" w:hAnsi="Arial" w:cs="Arial"/>
        </w:rPr>
        <w:t xml:space="preserve">has set the standards </w:t>
      </w:r>
      <w:r w:rsidRPr="00977D5E">
        <w:rPr>
          <w:rFonts w:ascii="Arial" w:hAnsi="Arial" w:cs="Arial"/>
        </w:rPr>
        <w:t>for a one government approach for data, infrastructure, security and services</w:t>
      </w:r>
      <w:r>
        <w:rPr>
          <w:rFonts w:ascii="Arial" w:hAnsi="Arial" w:cs="Arial"/>
        </w:rPr>
        <w:t>. This is fundamental to the States of Jersey functioning as</w:t>
      </w:r>
      <w:r w:rsidRPr="00977D5E">
        <w:rPr>
          <w:rFonts w:ascii="Arial" w:hAnsi="Arial" w:cs="Arial"/>
        </w:rPr>
        <w:t xml:space="preserve"> one government </w:t>
      </w:r>
      <w:r>
        <w:rPr>
          <w:rFonts w:ascii="Arial" w:hAnsi="Arial" w:cs="Arial"/>
        </w:rPr>
        <w:t>rather than as multiple different departments with their own digital approach.</w:t>
      </w:r>
    </w:p>
    <w:p w14:paraId="1135D07D" w14:textId="77777777" w:rsidR="003D7D90" w:rsidRDefault="003D7D90" w:rsidP="003D7D90">
      <w:pPr>
        <w:jc w:val="both"/>
        <w:rPr>
          <w:rFonts w:ascii="Arial" w:hAnsi="Arial" w:cs="Arial"/>
        </w:rPr>
      </w:pPr>
      <w:r w:rsidRPr="00977D5E">
        <w:rPr>
          <w:rFonts w:ascii="Arial" w:hAnsi="Arial" w:cs="Arial"/>
        </w:rPr>
        <w:t xml:space="preserve">Tell Us Once services </w:t>
      </w:r>
      <w:r>
        <w:rPr>
          <w:rFonts w:ascii="Arial" w:hAnsi="Arial" w:cs="Arial"/>
        </w:rPr>
        <w:t xml:space="preserve">have </w:t>
      </w:r>
      <w:r w:rsidRPr="00977D5E">
        <w:rPr>
          <w:rFonts w:ascii="Arial" w:hAnsi="Arial" w:cs="Arial"/>
        </w:rPr>
        <w:t>stitched together service providers from across S</w:t>
      </w:r>
      <w:r>
        <w:rPr>
          <w:rFonts w:ascii="Arial" w:hAnsi="Arial" w:cs="Arial"/>
        </w:rPr>
        <w:t xml:space="preserve">tates </w:t>
      </w:r>
      <w:r w:rsidRPr="00977D5E">
        <w:rPr>
          <w:rFonts w:ascii="Arial" w:hAnsi="Arial" w:cs="Arial"/>
        </w:rPr>
        <w:t>o</w:t>
      </w:r>
      <w:r>
        <w:rPr>
          <w:rFonts w:ascii="Arial" w:hAnsi="Arial" w:cs="Arial"/>
        </w:rPr>
        <w:t xml:space="preserve">f </w:t>
      </w:r>
      <w:r w:rsidRPr="00977D5E">
        <w:rPr>
          <w:rFonts w:ascii="Arial" w:hAnsi="Arial" w:cs="Arial"/>
        </w:rPr>
        <w:t>J</w:t>
      </w:r>
      <w:r>
        <w:rPr>
          <w:rFonts w:ascii="Arial" w:hAnsi="Arial" w:cs="Arial"/>
        </w:rPr>
        <w:t>ersey</w:t>
      </w:r>
      <w:r w:rsidRPr="00977D5E">
        <w:rPr>
          <w:rFonts w:ascii="Arial" w:hAnsi="Arial" w:cs="Arial"/>
        </w:rPr>
        <w:t xml:space="preserve"> and beyond</w:t>
      </w:r>
      <w:r>
        <w:rPr>
          <w:rFonts w:ascii="Arial" w:hAnsi="Arial" w:cs="Arial"/>
        </w:rPr>
        <w:t>, including p</w:t>
      </w:r>
      <w:r w:rsidRPr="00977D5E">
        <w:rPr>
          <w:rFonts w:ascii="Arial" w:hAnsi="Arial" w:cs="Arial"/>
        </w:rPr>
        <w:t xml:space="preserve">arishes, GPs, </w:t>
      </w:r>
      <w:r>
        <w:rPr>
          <w:rFonts w:ascii="Arial" w:hAnsi="Arial" w:cs="Arial"/>
        </w:rPr>
        <w:t xml:space="preserve">and the </w:t>
      </w:r>
      <w:r w:rsidRPr="00977D5E">
        <w:rPr>
          <w:rFonts w:ascii="Arial" w:hAnsi="Arial" w:cs="Arial"/>
        </w:rPr>
        <w:t>J</w:t>
      </w:r>
      <w:r>
        <w:rPr>
          <w:rFonts w:ascii="Arial" w:hAnsi="Arial" w:cs="Arial"/>
        </w:rPr>
        <w:t>ersey Financial Services Commission,</w:t>
      </w:r>
      <w:r w:rsidRPr="00977D5E">
        <w:rPr>
          <w:rFonts w:ascii="Arial" w:hAnsi="Arial" w:cs="Arial"/>
        </w:rPr>
        <w:t xml:space="preserve"> to improve customer service and data sharing</w:t>
      </w:r>
      <w:r>
        <w:rPr>
          <w:rFonts w:ascii="Arial" w:hAnsi="Arial" w:cs="Arial"/>
        </w:rPr>
        <w:t xml:space="preserve">. </w:t>
      </w:r>
    </w:p>
    <w:p w14:paraId="588BFBAA" w14:textId="77777777" w:rsidR="003D7D90" w:rsidRDefault="003D7D90" w:rsidP="003D7D90">
      <w:pPr>
        <w:jc w:val="both"/>
        <w:rPr>
          <w:rFonts w:ascii="Arial" w:hAnsi="Arial" w:cs="Arial"/>
        </w:rPr>
      </w:pPr>
      <w:r w:rsidRPr="00977D5E">
        <w:rPr>
          <w:rFonts w:ascii="Arial" w:hAnsi="Arial" w:cs="Arial"/>
        </w:rPr>
        <w:t xml:space="preserve">Digital Leadership training </w:t>
      </w:r>
      <w:r>
        <w:rPr>
          <w:rFonts w:ascii="Arial" w:hAnsi="Arial" w:cs="Arial"/>
        </w:rPr>
        <w:t xml:space="preserve">has been </w:t>
      </w:r>
      <w:r w:rsidRPr="00977D5E">
        <w:rPr>
          <w:rFonts w:ascii="Arial" w:hAnsi="Arial" w:cs="Arial"/>
        </w:rPr>
        <w:t xml:space="preserve">delivered across </w:t>
      </w:r>
      <w:r>
        <w:rPr>
          <w:rFonts w:ascii="Arial" w:hAnsi="Arial" w:cs="Arial"/>
        </w:rPr>
        <w:t>the organisation and one.gov.je website recently added services from the Taxes Office, t</w:t>
      </w:r>
      <w:r w:rsidRPr="00977D5E">
        <w:rPr>
          <w:rFonts w:ascii="Arial" w:hAnsi="Arial" w:cs="Arial"/>
        </w:rPr>
        <w:t>he Superintenden</w:t>
      </w:r>
      <w:r>
        <w:rPr>
          <w:rFonts w:ascii="Arial" w:hAnsi="Arial" w:cs="Arial"/>
        </w:rPr>
        <w:t>t registrar with an Education service to come soon.</w:t>
      </w:r>
    </w:p>
    <w:p w14:paraId="0D4281B3" w14:textId="77777777" w:rsidR="003D7D90" w:rsidRPr="003851F9" w:rsidRDefault="003D7D90" w:rsidP="003D7D90">
      <w:pPr>
        <w:jc w:val="both"/>
        <w:rPr>
          <w:rFonts w:ascii="Arial" w:hAnsi="Arial" w:cs="Arial"/>
        </w:rPr>
      </w:pPr>
      <w:r>
        <w:rPr>
          <w:rFonts w:ascii="Arial" w:hAnsi="Arial" w:cs="Arial"/>
        </w:rPr>
        <w:t xml:space="preserve">The recent decision by the States Assembly has established </w:t>
      </w:r>
      <w:r w:rsidRPr="003851F9">
        <w:rPr>
          <w:rFonts w:ascii="Arial" w:hAnsi="Arial" w:cs="Arial"/>
        </w:rPr>
        <w:t xml:space="preserve">a single legal entity for government, in place of the separate legal structures that currently exist for each department. This establishes the States of Jersey as a single, unified organisation, rather than a collection of silos. </w:t>
      </w:r>
      <w:r>
        <w:rPr>
          <w:rFonts w:ascii="Arial" w:hAnsi="Arial" w:cs="Arial"/>
        </w:rPr>
        <w:t xml:space="preserve">This </w:t>
      </w:r>
      <w:r w:rsidRPr="003851F9">
        <w:rPr>
          <w:rFonts w:ascii="Arial" w:hAnsi="Arial" w:cs="Arial"/>
        </w:rPr>
        <w:t xml:space="preserve">will </w:t>
      </w:r>
      <w:r>
        <w:rPr>
          <w:rFonts w:ascii="Arial" w:hAnsi="Arial" w:cs="Arial"/>
        </w:rPr>
        <w:t xml:space="preserve">facilitate </w:t>
      </w:r>
      <w:r w:rsidRPr="003851F9">
        <w:rPr>
          <w:rFonts w:ascii="Arial" w:hAnsi="Arial" w:cs="Arial"/>
        </w:rPr>
        <w:t>a collective strategy and make better use of resources.</w:t>
      </w:r>
    </w:p>
    <w:p w14:paraId="4B767ACE" w14:textId="77777777" w:rsidR="003D7D90" w:rsidRPr="0091449F" w:rsidRDefault="003D7D90" w:rsidP="003D7D90">
      <w:pPr>
        <w:autoSpaceDE w:val="0"/>
        <w:autoSpaceDN w:val="0"/>
        <w:adjustRightInd w:val="0"/>
        <w:jc w:val="both"/>
        <w:rPr>
          <w:rFonts w:ascii="Arial" w:hAnsi="Arial" w:cs="Arial"/>
          <w:b/>
        </w:rPr>
      </w:pPr>
      <w:r w:rsidRPr="0091449F">
        <w:rPr>
          <w:rFonts w:ascii="Arial" w:hAnsi="Arial" w:cs="Arial"/>
          <w:b/>
        </w:rPr>
        <w:t>Value for Money</w:t>
      </w:r>
    </w:p>
    <w:p w14:paraId="1B521551" w14:textId="77777777" w:rsidR="003D7D90" w:rsidRDefault="003D7D90" w:rsidP="003D7D90">
      <w:pPr>
        <w:autoSpaceDE w:val="0"/>
        <w:autoSpaceDN w:val="0"/>
        <w:adjustRightInd w:val="0"/>
        <w:jc w:val="both"/>
        <w:rPr>
          <w:rFonts w:ascii="Arial" w:hAnsi="Arial" w:cs="Arial"/>
        </w:rPr>
      </w:pPr>
      <w:r>
        <w:rPr>
          <w:rFonts w:ascii="Arial" w:hAnsi="Arial" w:cs="Arial"/>
        </w:rPr>
        <w:t>The Committee also says the eGov programme must be efficient and effective and provide good value for money to the taxpayer, even if that means spending money up front to invest in streamlining services and updating technological support.</w:t>
      </w:r>
    </w:p>
    <w:p w14:paraId="37088E28" w14:textId="77777777" w:rsidR="003D7D90" w:rsidRDefault="003D7D90" w:rsidP="003D7D90">
      <w:pPr>
        <w:jc w:val="both"/>
        <w:rPr>
          <w:rFonts w:ascii="Arial" w:hAnsi="Arial" w:cs="Arial"/>
        </w:rPr>
      </w:pPr>
      <w:r>
        <w:rPr>
          <w:rFonts w:ascii="Arial" w:hAnsi="Arial" w:cs="Arial"/>
        </w:rPr>
        <w:t>The programme adheres to the p</w:t>
      </w:r>
      <w:r w:rsidRPr="00977D5E">
        <w:rPr>
          <w:rFonts w:ascii="Arial" w:hAnsi="Arial" w:cs="Arial"/>
        </w:rPr>
        <w:t xml:space="preserve">rocurement process for major expenditure, </w:t>
      </w:r>
      <w:r>
        <w:rPr>
          <w:rFonts w:ascii="Arial" w:hAnsi="Arial" w:cs="Arial"/>
        </w:rPr>
        <w:t xml:space="preserve">and the </w:t>
      </w:r>
      <w:r w:rsidRPr="00977D5E">
        <w:rPr>
          <w:rFonts w:ascii="Arial" w:hAnsi="Arial" w:cs="Arial"/>
        </w:rPr>
        <w:t>selection criteria includes V</w:t>
      </w:r>
      <w:r>
        <w:rPr>
          <w:rFonts w:ascii="Arial" w:hAnsi="Arial" w:cs="Arial"/>
        </w:rPr>
        <w:t>alue for Money a</w:t>
      </w:r>
      <w:r w:rsidRPr="00977D5E">
        <w:rPr>
          <w:rFonts w:ascii="Arial" w:hAnsi="Arial" w:cs="Arial"/>
        </w:rPr>
        <w:t>nd commercial assessment.</w:t>
      </w:r>
      <w:r>
        <w:rPr>
          <w:rFonts w:ascii="Arial" w:hAnsi="Arial" w:cs="Arial"/>
        </w:rPr>
        <w:t xml:space="preserve"> </w:t>
      </w:r>
      <w:r w:rsidRPr="00977D5E">
        <w:rPr>
          <w:rFonts w:ascii="Arial" w:hAnsi="Arial" w:cs="Arial"/>
        </w:rPr>
        <w:t>All processes delivered on one.gov.je have been streamlined and are subject to continuous improvement methodology.</w:t>
      </w:r>
    </w:p>
    <w:p w14:paraId="5E42642E" w14:textId="77777777" w:rsidR="003D7D90" w:rsidRDefault="003D7D90" w:rsidP="003D7D90">
      <w:pPr>
        <w:jc w:val="both"/>
        <w:rPr>
          <w:rFonts w:ascii="Arial" w:hAnsi="Arial" w:cs="Arial"/>
        </w:rPr>
      </w:pPr>
      <w:r>
        <w:rPr>
          <w:rFonts w:ascii="Arial" w:hAnsi="Arial" w:cs="Arial"/>
        </w:rPr>
        <w:t xml:space="preserve">The </w:t>
      </w:r>
      <w:r w:rsidRPr="00977D5E">
        <w:rPr>
          <w:rFonts w:ascii="Arial" w:hAnsi="Arial" w:cs="Arial"/>
        </w:rPr>
        <w:t xml:space="preserve">Design Authority </w:t>
      </w:r>
      <w:r>
        <w:rPr>
          <w:rFonts w:ascii="Arial" w:hAnsi="Arial" w:cs="Arial"/>
        </w:rPr>
        <w:t xml:space="preserve">is </w:t>
      </w:r>
      <w:r w:rsidRPr="00977D5E">
        <w:rPr>
          <w:rFonts w:ascii="Arial" w:hAnsi="Arial" w:cs="Arial"/>
        </w:rPr>
        <w:t xml:space="preserve">creating ‘repeatable patterns’ of common technology requirements to </w:t>
      </w:r>
      <w:r>
        <w:rPr>
          <w:rFonts w:ascii="Arial" w:hAnsi="Arial" w:cs="Arial"/>
        </w:rPr>
        <w:t>standardise the way the organisation commissions technology and to d</w:t>
      </w:r>
      <w:r w:rsidRPr="00977D5E">
        <w:rPr>
          <w:rFonts w:ascii="Arial" w:hAnsi="Arial" w:cs="Arial"/>
        </w:rPr>
        <w:t xml:space="preserve">rive down </w:t>
      </w:r>
      <w:r>
        <w:rPr>
          <w:rFonts w:ascii="Arial" w:hAnsi="Arial" w:cs="Arial"/>
        </w:rPr>
        <w:t>costs. Sharing technological solutions across the organisation, like digital ID, is significantly more cost effective than each department developing its own solution.</w:t>
      </w:r>
    </w:p>
    <w:p w14:paraId="340A15C6" w14:textId="77777777" w:rsidR="000C0A5F" w:rsidRDefault="000C0A5F" w:rsidP="003D7D90">
      <w:pPr>
        <w:jc w:val="both"/>
        <w:rPr>
          <w:rFonts w:ascii="Arial" w:hAnsi="Arial" w:cs="Arial"/>
          <w:b/>
        </w:rPr>
      </w:pPr>
    </w:p>
    <w:p w14:paraId="01F21756" w14:textId="77777777" w:rsidR="003D7D90" w:rsidRPr="0091449F" w:rsidRDefault="003D7D90" w:rsidP="003D7D90">
      <w:pPr>
        <w:jc w:val="both"/>
        <w:rPr>
          <w:rFonts w:ascii="Arial" w:hAnsi="Arial" w:cs="Arial"/>
          <w:b/>
        </w:rPr>
      </w:pPr>
      <w:r w:rsidRPr="0091449F">
        <w:rPr>
          <w:rFonts w:ascii="Arial" w:hAnsi="Arial" w:cs="Arial"/>
          <w:b/>
        </w:rPr>
        <w:lastRenderedPageBreak/>
        <w:t>Objectives</w:t>
      </w:r>
    </w:p>
    <w:p w14:paraId="3F75FFE1" w14:textId="77777777" w:rsidR="003D7D90" w:rsidRDefault="003D7D90" w:rsidP="003D7D90">
      <w:pPr>
        <w:autoSpaceDE w:val="0"/>
        <w:autoSpaceDN w:val="0"/>
        <w:adjustRightInd w:val="0"/>
        <w:jc w:val="both"/>
        <w:rPr>
          <w:rFonts w:ascii="Arial" w:hAnsi="Arial" w:cs="Arial"/>
        </w:rPr>
      </w:pPr>
      <w:r>
        <w:rPr>
          <w:rFonts w:ascii="Arial" w:hAnsi="Arial" w:cs="Arial"/>
        </w:rPr>
        <w:t>The Committee says in its report that it has been frustrated in its efforts to see a clear strategy document serving as a focal point of reference for all people involved in delivering this programme.</w:t>
      </w:r>
    </w:p>
    <w:p w14:paraId="2CE63914" w14:textId="77777777" w:rsidR="003D7D90" w:rsidRPr="00AD2E8F" w:rsidRDefault="003D7D90" w:rsidP="003D7D90">
      <w:pPr>
        <w:autoSpaceDE w:val="0"/>
        <w:autoSpaceDN w:val="0"/>
        <w:adjustRightInd w:val="0"/>
        <w:jc w:val="both"/>
        <w:rPr>
          <w:rFonts w:ascii="Arial" w:hAnsi="Arial" w:cs="Arial"/>
        </w:rPr>
      </w:pPr>
      <w:r w:rsidRPr="00AD2E8F">
        <w:rPr>
          <w:rFonts w:ascii="Arial" w:hAnsi="Arial" w:cs="Arial"/>
        </w:rPr>
        <w:t>The former CEO refuted this position</w:t>
      </w:r>
      <w:r w:rsidR="000C0A5F">
        <w:rPr>
          <w:rFonts w:ascii="Arial" w:hAnsi="Arial" w:cs="Arial"/>
        </w:rPr>
        <w:t>,</w:t>
      </w:r>
      <w:r w:rsidRPr="00AD2E8F">
        <w:rPr>
          <w:rFonts w:ascii="Arial" w:hAnsi="Arial" w:cs="Arial"/>
        </w:rPr>
        <w:t xml:space="preserve"> stating that the original strategy, as approved by the CoM remains sound whilst the approach to delivery has developed over the last few years. </w:t>
      </w:r>
    </w:p>
    <w:p w14:paraId="172872AF" w14:textId="77777777" w:rsidR="00FE12DC" w:rsidRDefault="00B2212C" w:rsidP="007F00C8">
      <w:pPr>
        <w:pStyle w:val="BodyText"/>
        <w:ind w:left="0" w:right="360" w:firstLine="0"/>
        <w:jc w:val="both"/>
        <w:rPr>
          <w:rFonts w:ascii="Arial" w:eastAsia="Calibri" w:hAnsi="Arial" w:cs="Arial"/>
          <w:bCs/>
          <w:color w:val="000000"/>
          <w:sz w:val="22"/>
          <w:szCs w:val="22"/>
          <w:lang w:val="en-GB"/>
        </w:rPr>
      </w:pPr>
      <w:r>
        <w:rPr>
          <w:rFonts w:ascii="Arial" w:eastAsia="Calibri" w:hAnsi="Arial" w:cs="Arial"/>
          <w:bCs/>
          <w:color w:val="000000"/>
          <w:sz w:val="22"/>
          <w:szCs w:val="22"/>
          <w:lang w:val="en-GB"/>
        </w:rPr>
        <w:t>The specific actions proposed are as follows:</w:t>
      </w:r>
    </w:p>
    <w:p w14:paraId="05C462D1" w14:textId="77777777" w:rsidR="00EB54F1" w:rsidRDefault="00EB54F1" w:rsidP="000C0A5F">
      <w:pPr>
        <w:pStyle w:val="BodyText"/>
        <w:ind w:left="0" w:right="360" w:firstLine="0"/>
        <w:jc w:val="both"/>
        <w:rPr>
          <w:rFonts w:ascii="Arial" w:eastAsia="Calibri" w:hAnsi="Arial" w:cs="Arial"/>
          <w:bCs/>
          <w:color w:val="000000"/>
          <w:sz w:val="22"/>
          <w:szCs w:val="22"/>
          <w:lang w:val="en-GB"/>
        </w:rPr>
      </w:pPr>
    </w:p>
    <w:p w14:paraId="5A0FAB17" w14:textId="77777777" w:rsidR="007734ED" w:rsidRPr="007734ED" w:rsidRDefault="007734ED" w:rsidP="00935CB2">
      <w:pPr>
        <w:jc w:val="both"/>
        <w:rPr>
          <w:rFonts w:ascii="Arial" w:hAnsi="Arial" w:cs="Arial"/>
          <w:bCs/>
          <w:color w:val="000000"/>
          <w:u w:val="single"/>
        </w:rPr>
      </w:pPr>
      <w:r w:rsidRPr="007734ED">
        <w:rPr>
          <w:rFonts w:ascii="Arial" w:hAnsi="Arial" w:cs="Arial"/>
          <w:bCs/>
          <w:color w:val="000000"/>
          <w:u w:val="single"/>
        </w:rPr>
        <w:t>Action Plan</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1559"/>
        <w:gridCol w:w="2151"/>
        <w:gridCol w:w="2244"/>
      </w:tblGrid>
      <w:tr w:rsidR="007734ED" w:rsidRPr="00FA526B" w14:paraId="5434F0C4" w14:textId="77777777" w:rsidTr="000C0A5F">
        <w:tc>
          <w:tcPr>
            <w:tcW w:w="8080" w:type="dxa"/>
          </w:tcPr>
          <w:p w14:paraId="26236FEB" w14:textId="77777777" w:rsidR="007734ED" w:rsidRPr="00FA526B" w:rsidRDefault="007734ED" w:rsidP="00287546">
            <w:pPr>
              <w:spacing w:after="0" w:line="240" w:lineRule="auto"/>
              <w:rPr>
                <w:rFonts w:ascii="Arial" w:hAnsi="Arial" w:cs="Arial"/>
              </w:rPr>
            </w:pPr>
            <w:r w:rsidRPr="00FA526B">
              <w:rPr>
                <w:rFonts w:ascii="Arial" w:hAnsi="Arial" w:cs="Arial"/>
              </w:rPr>
              <w:t>Action</w:t>
            </w:r>
          </w:p>
        </w:tc>
        <w:tc>
          <w:tcPr>
            <w:tcW w:w="1559" w:type="dxa"/>
          </w:tcPr>
          <w:p w14:paraId="388946B0" w14:textId="77777777" w:rsidR="007734ED" w:rsidRPr="00FA526B" w:rsidRDefault="007734ED" w:rsidP="00941CE9">
            <w:pPr>
              <w:spacing w:after="0" w:line="240" w:lineRule="auto"/>
              <w:jc w:val="center"/>
              <w:rPr>
                <w:rFonts w:ascii="Arial" w:hAnsi="Arial" w:cs="Arial"/>
              </w:rPr>
            </w:pPr>
            <w:r w:rsidRPr="00FA526B">
              <w:rPr>
                <w:rFonts w:ascii="Arial" w:hAnsi="Arial" w:cs="Arial"/>
              </w:rPr>
              <w:t>Responsible officer</w:t>
            </w:r>
          </w:p>
        </w:tc>
        <w:tc>
          <w:tcPr>
            <w:tcW w:w="2151" w:type="dxa"/>
          </w:tcPr>
          <w:p w14:paraId="0569B03F" w14:textId="77777777" w:rsidR="007734ED" w:rsidRPr="00FA526B" w:rsidRDefault="007734ED" w:rsidP="00941CE9">
            <w:pPr>
              <w:spacing w:after="0" w:line="240" w:lineRule="auto"/>
              <w:jc w:val="center"/>
              <w:rPr>
                <w:rFonts w:ascii="Arial" w:hAnsi="Arial" w:cs="Arial"/>
              </w:rPr>
            </w:pPr>
            <w:r w:rsidRPr="00FA526B">
              <w:rPr>
                <w:rFonts w:ascii="Arial" w:hAnsi="Arial" w:cs="Arial"/>
              </w:rPr>
              <w:t>Target date</w:t>
            </w:r>
          </w:p>
        </w:tc>
        <w:tc>
          <w:tcPr>
            <w:tcW w:w="2244" w:type="dxa"/>
          </w:tcPr>
          <w:p w14:paraId="429B205A" w14:textId="77777777" w:rsidR="007734ED" w:rsidRPr="00FA526B" w:rsidRDefault="007734ED" w:rsidP="00941CE9">
            <w:pPr>
              <w:spacing w:after="0" w:line="240" w:lineRule="auto"/>
              <w:jc w:val="center"/>
              <w:rPr>
                <w:rFonts w:ascii="Arial" w:hAnsi="Arial" w:cs="Arial"/>
              </w:rPr>
            </w:pPr>
            <w:r w:rsidRPr="00FA526B">
              <w:rPr>
                <w:rFonts w:ascii="Arial" w:hAnsi="Arial" w:cs="Arial"/>
              </w:rPr>
              <w:t>Recommendations addressed by action</w:t>
            </w:r>
          </w:p>
        </w:tc>
      </w:tr>
      <w:tr w:rsidR="00A062C2" w:rsidRPr="00FA526B" w14:paraId="4ACF8DFC" w14:textId="77777777" w:rsidTr="000C0A5F">
        <w:tc>
          <w:tcPr>
            <w:tcW w:w="8080" w:type="dxa"/>
          </w:tcPr>
          <w:p w14:paraId="0E056167" w14:textId="77777777" w:rsidR="00A062C2" w:rsidRPr="00FA526B" w:rsidRDefault="00236D06" w:rsidP="00236D06">
            <w:pPr>
              <w:autoSpaceDE w:val="0"/>
              <w:autoSpaceDN w:val="0"/>
              <w:adjustRightInd w:val="0"/>
              <w:rPr>
                <w:rFonts w:ascii="Arial" w:hAnsi="Arial" w:cs="Arial"/>
              </w:rPr>
            </w:pPr>
            <w:r>
              <w:rPr>
                <w:rFonts w:ascii="Arial" w:hAnsi="Arial" w:cs="Arial"/>
              </w:rPr>
              <w:t>Complete a</w:t>
            </w:r>
            <w:r w:rsidR="00941CE9">
              <w:rPr>
                <w:rFonts w:ascii="Arial" w:hAnsi="Arial" w:cs="Arial"/>
              </w:rPr>
              <w:t xml:space="preserve"> post implementation review </w:t>
            </w:r>
            <w:r>
              <w:rPr>
                <w:rFonts w:ascii="Arial" w:hAnsi="Arial" w:cs="Arial"/>
              </w:rPr>
              <w:t xml:space="preserve">of </w:t>
            </w:r>
            <w:r w:rsidR="00941CE9">
              <w:rPr>
                <w:rFonts w:ascii="Arial" w:hAnsi="Arial" w:cs="Arial"/>
              </w:rPr>
              <w:t>the delivery of the programme against the objectives set out in the original business case</w:t>
            </w:r>
            <w:r>
              <w:rPr>
                <w:rFonts w:ascii="Arial" w:hAnsi="Arial" w:cs="Arial"/>
              </w:rPr>
              <w:t>.</w:t>
            </w:r>
          </w:p>
        </w:tc>
        <w:tc>
          <w:tcPr>
            <w:tcW w:w="1559" w:type="dxa"/>
          </w:tcPr>
          <w:p w14:paraId="7F7669DB" w14:textId="77777777" w:rsidR="00A062C2" w:rsidRPr="00FA526B" w:rsidRDefault="00941CE9" w:rsidP="000C0A5F">
            <w:pPr>
              <w:spacing w:after="0" w:line="240" w:lineRule="auto"/>
              <w:jc w:val="right"/>
              <w:rPr>
                <w:rFonts w:ascii="Arial" w:hAnsi="Arial" w:cs="Arial"/>
              </w:rPr>
            </w:pPr>
            <w:r>
              <w:rPr>
                <w:rFonts w:ascii="Arial" w:hAnsi="Arial" w:cs="Arial"/>
              </w:rPr>
              <w:t>COO</w:t>
            </w:r>
          </w:p>
        </w:tc>
        <w:tc>
          <w:tcPr>
            <w:tcW w:w="2151" w:type="dxa"/>
          </w:tcPr>
          <w:p w14:paraId="7CC7F4A9" w14:textId="77777777" w:rsidR="00A062C2" w:rsidRPr="00943BEA" w:rsidRDefault="0037403C" w:rsidP="000C0A5F">
            <w:pPr>
              <w:spacing w:after="0" w:line="240" w:lineRule="auto"/>
              <w:jc w:val="right"/>
              <w:rPr>
                <w:rFonts w:ascii="Arial" w:hAnsi="Arial" w:cs="Arial"/>
              </w:rPr>
            </w:pPr>
            <w:r w:rsidRPr="00943BEA">
              <w:rPr>
                <w:rFonts w:ascii="Arial" w:hAnsi="Arial" w:cs="Arial"/>
              </w:rPr>
              <w:t>30/</w:t>
            </w:r>
            <w:r w:rsidR="00941CE9" w:rsidRPr="00943BEA">
              <w:rPr>
                <w:rFonts w:ascii="Arial" w:hAnsi="Arial" w:cs="Arial"/>
              </w:rPr>
              <w:t>06/2019</w:t>
            </w:r>
          </w:p>
        </w:tc>
        <w:tc>
          <w:tcPr>
            <w:tcW w:w="2244" w:type="dxa"/>
          </w:tcPr>
          <w:p w14:paraId="1E01EC36" w14:textId="77777777" w:rsidR="00A062C2" w:rsidRPr="00FA526B" w:rsidRDefault="00941CE9" w:rsidP="000C0A5F">
            <w:pPr>
              <w:spacing w:after="0" w:line="240" w:lineRule="auto"/>
              <w:jc w:val="right"/>
              <w:rPr>
                <w:rFonts w:ascii="Arial" w:hAnsi="Arial" w:cs="Arial"/>
              </w:rPr>
            </w:pPr>
            <w:r>
              <w:rPr>
                <w:rFonts w:ascii="Arial" w:hAnsi="Arial" w:cs="Arial"/>
              </w:rPr>
              <w:t>1, 3</w:t>
            </w:r>
          </w:p>
        </w:tc>
      </w:tr>
      <w:tr w:rsidR="00236D06" w:rsidRPr="00FA526B" w14:paraId="35486FCA" w14:textId="77777777" w:rsidTr="000C0A5F">
        <w:tc>
          <w:tcPr>
            <w:tcW w:w="8080" w:type="dxa"/>
          </w:tcPr>
          <w:p w14:paraId="1786E97F" w14:textId="77777777" w:rsidR="00236D06" w:rsidRDefault="00236D06" w:rsidP="00236D06">
            <w:pPr>
              <w:spacing w:after="0" w:line="240" w:lineRule="auto"/>
              <w:jc w:val="both"/>
              <w:rPr>
                <w:rFonts w:ascii="Arial" w:hAnsi="Arial" w:cs="Arial"/>
                <w:color w:val="000000" w:themeColor="text1"/>
              </w:rPr>
            </w:pPr>
            <w:r>
              <w:rPr>
                <w:rFonts w:ascii="Arial" w:hAnsi="Arial" w:cs="Arial"/>
                <w:color w:val="000000" w:themeColor="text1"/>
              </w:rPr>
              <w:t>Set out strategy for</w:t>
            </w:r>
            <w:r w:rsidRPr="00236D06">
              <w:rPr>
                <w:rFonts w:ascii="Arial" w:hAnsi="Arial" w:cs="Arial"/>
                <w:color w:val="000000" w:themeColor="text1"/>
              </w:rPr>
              <w:t xml:space="preserve"> government digital transformation and execution of proposed Target Operating Model (TOM) will bring teams together to deliver what is best for our customers</w:t>
            </w:r>
            <w:r w:rsidR="0054322A">
              <w:rPr>
                <w:rFonts w:ascii="Arial" w:hAnsi="Arial" w:cs="Arial"/>
                <w:color w:val="000000" w:themeColor="text1"/>
              </w:rPr>
              <w:t xml:space="preserve">.  </w:t>
            </w:r>
          </w:p>
          <w:p w14:paraId="2DB864A9" w14:textId="77777777" w:rsidR="00FD3748" w:rsidRDefault="00FD3748" w:rsidP="00236D06">
            <w:pPr>
              <w:spacing w:after="0" w:line="240" w:lineRule="auto"/>
              <w:jc w:val="both"/>
              <w:rPr>
                <w:rFonts w:ascii="Arial" w:hAnsi="Arial" w:cs="Arial"/>
                <w:color w:val="000000" w:themeColor="text1"/>
              </w:rPr>
            </w:pPr>
          </w:p>
          <w:p w14:paraId="15FA71BA" w14:textId="77777777" w:rsidR="00FD3748" w:rsidRPr="00236D06" w:rsidRDefault="00FD3748" w:rsidP="00236D06">
            <w:pPr>
              <w:spacing w:after="0" w:line="240" w:lineRule="auto"/>
              <w:jc w:val="both"/>
              <w:rPr>
                <w:rFonts w:ascii="Arial" w:hAnsi="Arial" w:cs="Arial"/>
                <w:color w:val="000000" w:themeColor="text1"/>
              </w:rPr>
            </w:pPr>
            <w:r>
              <w:rPr>
                <w:rFonts w:ascii="Arial" w:hAnsi="Arial" w:cs="Arial"/>
                <w:color w:val="000000" w:themeColor="text1"/>
              </w:rPr>
              <w:t>The digital strategy will form part of the TOM and the new Chief Operating Office will clearly show the digital transformation.</w:t>
            </w:r>
          </w:p>
          <w:p w14:paraId="43E9A73D" w14:textId="77777777" w:rsidR="00236D06" w:rsidRDefault="00236D06" w:rsidP="00941CE9">
            <w:pPr>
              <w:spacing w:after="0" w:line="240" w:lineRule="auto"/>
              <w:ind w:left="37"/>
              <w:jc w:val="both"/>
              <w:rPr>
                <w:rFonts w:ascii="Arial" w:hAnsi="Arial" w:cs="Arial"/>
              </w:rPr>
            </w:pPr>
          </w:p>
        </w:tc>
        <w:tc>
          <w:tcPr>
            <w:tcW w:w="1559" w:type="dxa"/>
          </w:tcPr>
          <w:p w14:paraId="75C1B19D" w14:textId="77777777" w:rsidR="00236D06" w:rsidRDefault="0054322A" w:rsidP="000C0A5F">
            <w:pPr>
              <w:spacing w:after="0" w:line="240" w:lineRule="auto"/>
              <w:jc w:val="right"/>
              <w:rPr>
                <w:rFonts w:ascii="Arial" w:hAnsi="Arial" w:cs="Arial"/>
              </w:rPr>
            </w:pPr>
            <w:r>
              <w:rPr>
                <w:rFonts w:ascii="Arial" w:hAnsi="Arial" w:cs="Arial"/>
              </w:rPr>
              <w:t>CO</w:t>
            </w:r>
            <w:r w:rsidR="00236D06">
              <w:rPr>
                <w:rFonts w:ascii="Arial" w:hAnsi="Arial" w:cs="Arial"/>
              </w:rPr>
              <w:t>O</w:t>
            </w:r>
          </w:p>
        </w:tc>
        <w:tc>
          <w:tcPr>
            <w:tcW w:w="2151" w:type="dxa"/>
          </w:tcPr>
          <w:p w14:paraId="22C7C7CD" w14:textId="77777777" w:rsidR="00236D06" w:rsidRPr="00943BEA" w:rsidRDefault="00236D06" w:rsidP="000C0A5F">
            <w:pPr>
              <w:spacing w:after="0" w:line="240" w:lineRule="auto"/>
              <w:jc w:val="right"/>
              <w:rPr>
                <w:rFonts w:ascii="Arial" w:hAnsi="Arial" w:cs="Arial"/>
              </w:rPr>
            </w:pPr>
            <w:r w:rsidRPr="00943BEA">
              <w:rPr>
                <w:rFonts w:ascii="Arial" w:hAnsi="Arial" w:cs="Arial"/>
              </w:rPr>
              <w:t>31/12/2018</w:t>
            </w:r>
          </w:p>
        </w:tc>
        <w:tc>
          <w:tcPr>
            <w:tcW w:w="2244" w:type="dxa"/>
          </w:tcPr>
          <w:p w14:paraId="6548CF60" w14:textId="77777777" w:rsidR="00236D06" w:rsidRDefault="00236D06" w:rsidP="000C0A5F">
            <w:pPr>
              <w:spacing w:after="0" w:line="240" w:lineRule="auto"/>
              <w:jc w:val="right"/>
              <w:rPr>
                <w:rFonts w:ascii="Arial" w:hAnsi="Arial" w:cs="Arial"/>
              </w:rPr>
            </w:pPr>
            <w:r>
              <w:rPr>
                <w:rFonts w:ascii="Arial" w:hAnsi="Arial" w:cs="Arial"/>
              </w:rPr>
              <w:t>1,3</w:t>
            </w:r>
          </w:p>
        </w:tc>
      </w:tr>
      <w:tr w:rsidR="00FA526B" w:rsidRPr="00FA526B" w14:paraId="158B9D76" w14:textId="77777777" w:rsidTr="000C0A5F">
        <w:tc>
          <w:tcPr>
            <w:tcW w:w="8080" w:type="dxa"/>
          </w:tcPr>
          <w:p w14:paraId="36F57106" w14:textId="77777777" w:rsidR="00941CE9" w:rsidRPr="00941CE9" w:rsidRDefault="00941CE9" w:rsidP="00941CE9">
            <w:pPr>
              <w:spacing w:after="0" w:line="240" w:lineRule="auto"/>
              <w:ind w:left="37"/>
              <w:jc w:val="both"/>
              <w:rPr>
                <w:b/>
              </w:rPr>
            </w:pPr>
            <w:r>
              <w:rPr>
                <w:rFonts w:ascii="Arial" w:hAnsi="Arial" w:cs="Arial"/>
              </w:rPr>
              <w:t xml:space="preserve">Implement a set </w:t>
            </w:r>
            <w:r w:rsidRPr="00941CE9">
              <w:rPr>
                <w:rFonts w:ascii="Arial" w:hAnsi="Arial" w:cs="Arial"/>
              </w:rPr>
              <w:t>of performance standards for all services, so they can be benchmarked against those provided by high-performing public sectors elsewhere in the world.</w:t>
            </w:r>
          </w:p>
          <w:p w14:paraId="00FDC874" w14:textId="77777777" w:rsidR="00FA526B" w:rsidRPr="00FA526B" w:rsidRDefault="00FA526B" w:rsidP="0037403C">
            <w:pPr>
              <w:spacing w:after="0" w:line="240" w:lineRule="auto"/>
              <w:ind w:left="37"/>
              <w:jc w:val="both"/>
              <w:rPr>
                <w:rFonts w:ascii="Arial" w:hAnsi="Arial" w:cs="Arial"/>
              </w:rPr>
            </w:pPr>
          </w:p>
        </w:tc>
        <w:tc>
          <w:tcPr>
            <w:tcW w:w="1559" w:type="dxa"/>
          </w:tcPr>
          <w:p w14:paraId="22FFB261" w14:textId="77777777" w:rsidR="00FA526B" w:rsidRPr="00FA526B" w:rsidRDefault="0037403C" w:rsidP="000C0A5F">
            <w:pPr>
              <w:spacing w:after="0" w:line="240" w:lineRule="auto"/>
              <w:jc w:val="right"/>
              <w:rPr>
                <w:rFonts w:ascii="Arial" w:hAnsi="Arial" w:cs="Arial"/>
              </w:rPr>
            </w:pPr>
            <w:r>
              <w:rPr>
                <w:rFonts w:ascii="Arial" w:hAnsi="Arial" w:cs="Arial"/>
              </w:rPr>
              <w:t>CEO</w:t>
            </w:r>
          </w:p>
        </w:tc>
        <w:tc>
          <w:tcPr>
            <w:tcW w:w="2151" w:type="dxa"/>
          </w:tcPr>
          <w:p w14:paraId="466AFB78" w14:textId="77777777" w:rsidR="00FA526B" w:rsidRPr="00943BEA" w:rsidRDefault="0037403C" w:rsidP="000C0A5F">
            <w:pPr>
              <w:spacing w:after="0" w:line="240" w:lineRule="auto"/>
              <w:jc w:val="right"/>
              <w:rPr>
                <w:rFonts w:ascii="Arial" w:hAnsi="Arial" w:cs="Arial"/>
              </w:rPr>
            </w:pPr>
            <w:r w:rsidRPr="00943BEA">
              <w:rPr>
                <w:rFonts w:ascii="Arial" w:hAnsi="Arial" w:cs="Arial"/>
              </w:rPr>
              <w:t>From 31/</w:t>
            </w:r>
            <w:r w:rsidR="00236D06" w:rsidRPr="00943BEA">
              <w:rPr>
                <w:rFonts w:ascii="Arial" w:hAnsi="Arial" w:cs="Arial"/>
              </w:rPr>
              <w:t>0</w:t>
            </w:r>
            <w:r w:rsidRPr="00943BEA">
              <w:rPr>
                <w:rFonts w:ascii="Arial" w:hAnsi="Arial" w:cs="Arial"/>
              </w:rPr>
              <w:t>1/2019</w:t>
            </w:r>
          </w:p>
        </w:tc>
        <w:tc>
          <w:tcPr>
            <w:tcW w:w="2244" w:type="dxa"/>
          </w:tcPr>
          <w:p w14:paraId="113E13D5" w14:textId="77777777" w:rsidR="00FA526B" w:rsidRPr="00FA526B" w:rsidRDefault="0037403C" w:rsidP="000C0A5F">
            <w:pPr>
              <w:spacing w:after="0" w:line="240" w:lineRule="auto"/>
              <w:jc w:val="right"/>
              <w:rPr>
                <w:rFonts w:ascii="Arial" w:hAnsi="Arial" w:cs="Arial"/>
              </w:rPr>
            </w:pPr>
            <w:r>
              <w:rPr>
                <w:rFonts w:ascii="Arial" w:hAnsi="Arial" w:cs="Arial"/>
              </w:rPr>
              <w:t>2, 3, 4</w:t>
            </w:r>
          </w:p>
        </w:tc>
      </w:tr>
      <w:tr w:rsidR="008A6256" w:rsidRPr="00FA526B" w14:paraId="71820847" w14:textId="77777777" w:rsidTr="000C0A5F">
        <w:tc>
          <w:tcPr>
            <w:tcW w:w="8080" w:type="dxa"/>
          </w:tcPr>
          <w:p w14:paraId="28246B7F" w14:textId="77777777" w:rsidR="008A6256" w:rsidRPr="00FA526B" w:rsidRDefault="0037403C" w:rsidP="00236D06">
            <w:pPr>
              <w:autoSpaceDE w:val="0"/>
              <w:autoSpaceDN w:val="0"/>
              <w:adjustRightInd w:val="0"/>
              <w:rPr>
                <w:rFonts w:ascii="Arial" w:hAnsi="Arial" w:cs="Arial"/>
              </w:rPr>
            </w:pPr>
            <w:r>
              <w:rPr>
                <w:rFonts w:ascii="Arial" w:hAnsi="Arial" w:cs="Arial"/>
              </w:rPr>
              <w:t>Establish</w:t>
            </w:r>
            <w:r w:rsidRPr="00B949F6">
              <w:rPr>
                <w:rFonts w:ascii="Arial" w:hAnsi="Arial" w:cs="Arial"/>
              </w:rPr>
              <w:t xml:space="preserve"> targets for senior leaders, teams and </w:t>
            </w:r>
            <w:r>
              <w:rPr>
                <w:rFonts w:ascii="Arial" w:hAnsi="Arial" w:cs="Arial"/>
              </w:rPr>
              <w:t>individuals</w:t>
            </w:r>
            <w:r w:rsidRPr="00B949F6">
              <w:rPr>
                <w:rFonts w:ascii="Arial" w:hAnsi="Arial" w:cs="Arial"/>
              </w:rPr>
              <w:t xml:space="preserve"> across the organisation, including for the eGov programme</w:t>
            </w:r>
            <w:r w:rsidR="00236D06">
              <w:rPr>
                <w:rFonts w:ascii="Arial" w:hAnsi="Arial" w:cs="Arial"/>
              </w:rPr>
              <w:t>,</w:t>
            </w:r>
            <w:r>
              <w:rPr>
                <w:rFonts w:ascii="Arial" w:hAnsi="Arial" w:cs="Arial"/>
              </w:rPr>
              <w:t xml:space="preserve"> that reflect government aims and objectives</w:t>
            </w:r>
          </w:p>
        </w:tc>
        <w:tc>
          <w:tcPr>
            <w:tcW w:w="1559" w:type="dxa"/>
          </w:tcPr>
          <w:p w14:paraId="183CA062" w14:textId="77777777" w:rsidR="008A6256" w:rsidRPr="00FA526B" w:rsidRDefault="00FD3748" w:rsidP="000C0A5F">
            <w:pPr>
              <w:spacing w:after="0" w:line="240" w:lineRule="auto"/>
              <w:jc w:val="right"/>
              <w:rPr>
                <w:rFonts w:ascii="Arial" w:hAnsi="Arial" w:cs="Arial"/>
              </w:rPr>
            </w:pPr>
            <w:r>
              <w:rPr>
                <w:rFonts w:ascii="Arial" w:hAnsi="Arial" w:cs="Arial"/>
              </w:rPr>
              <w:t xml:space="preserve">COO / </w:t>
            </w:r>
            <w:r w:rsidR="0037403C">
              <w:rPr>
                <w:rFonts w:ascii="Arial" w:hAnsi="Arial" w:cs="Arial"/>
              </w:rPr>
              <w:t>CEO</w:t>
            </w:r>
          </w:p>
        </w:tc>
        <w:tc>
          <w:tcPr>
            <w:tcW w:w="2151" w:type="dxa"/>
          </w:tcPr>
          <w:p w14:paraId="68E1A0BF" w14:textId="77777777" w:rsidR="008A6256" w:rsidRPr="00943BEA" w:rsidRDefault="0037403C" w:rsidP="000C0A5F">
            <w:pPr>
              <w:spacing w:after="0" w:line="240" w:lineRule="auto"/>
              <w:jc w:val="right"/>
              <w:rPr>
                <w:rFonts w:ascii="Arial" w:hAnsi="Arial" w:cs="Arial"/>
              </w:rPr>
            </w:pPr>
            <w:r w:rsidRPr="00943BEA">
              <w:rPr>
                <w:rFonts w:ascii="Arial" w:hAnsi="Arial" w:cs="Arial"/>
              </w:rPr>
              <w:t>31/12/2018</w:t>
            </w:r>
          </w:p>
        </w:tc>
        <w:tc>
          <w:tcPr>
            <w:tcW w:w="2244" w:type="dxa"/>
          </w:tcPr>
          <w:p w14:paraId="32E0B4BA" w14:textId="77777777" w:rsidR="008A6256" w:rsidRPr="00FA526B" w:rsidRDefault="0037403C" w:rsidP="000C0A5F">
            <w:pPr>
              <w:spacing w:after="0" w:line="240" w:lineRule="auto"/>
              <w:jc w:val="right"/>
              <w:rPr>
                <w:rFonts w:ascii="Arial" w:hAnsi="Arial" w:cs="Arial"/>
              </w:rPr>
            </w:pPr>
            <w:r>
              <w:rPr>
                <w:rFonts w:ascii="Arial" w:hAnsi="Arial" w:cs="Arial"/>
              </w:rPr>
              <w:t>2, 3, 4</w:t>
            </w:r>
          </w:p>
        </w:tc>
      </w:tr>
      <w:tr w:rsidR="0037403C" w:rsidRPr="00FA526B" w14:paraId="581E8BF1" w14:textId="77777777" w:rsidTr="000C0A5F">
        <w:tc>
          <w:tcPr>
            <w:tcW w:w="8080" w:type="dxa"/>
          </w:tcPr>
          <w:p w14:paraId="24847B4A" w14:textId="77777777" w:rsidR="0037403C" w:rsidRDefault="0037403C" w:rsidP="00236D06">
            <w:pPr>
              <w:spacing w:after="0" w:line="240" w:lineRule="auto"/>
              <w:ind w:left="37"/>
              <w:jc w:val="both"/>
              <w:rPr>
                <w:rFonts w:ascii="Arial" w:hAnsi="Arial" w:cs="Arial"/>
              </w:rPr>
            </w:pPr>
            <w:r>
              <w:rPr>
                <w:rFonts w:ascii="Arial" w:hAnsi="Arial" w:cs="Arial"/>
              </w:rPr>
              <w:t>R</w:t>
            </w:r>
            <w:r w:rsidRPr="00941CE9">
              <w:rPr>
                <w:rFonts w:ascii="Arial" w:hAnsi="Arial" w:cs="Arial"/>
              </w:rPr>
              <w:t>egular</w:t>
            </w:r>
            <w:r>
              <w:rPr>
                <w:rFonts w:ascii="Arial" w:hAnsi="Arial" w:cs="Arial"/>
              </w:rPr>
              <w:t>ly</w:t>
            </w:r>
            <w:r w:rsidRPr="00941CE9">
              <w:rPr>
                <w:rFonts w:ascii="Arial" w:hAnsi="Arial" w:cs="Arial"/>
              </w:rPr>
              <w:t xml:space="preserve"> measur</w:t>
            </w:r>
            <w:r>
              <w:rPr>
                <w:rFonts w:ascii="Arial" w:hAnsi="Arial" w:cs="Arial"/>
              </w:rPr>
              <w:t>e</w:t>
            </w:r>
            <w:r w:rsidRPr="00941CE9">
              <w:rPr>
                <w:rFonts w:ascii="Arial" w:hAnsi="Arial" w:cs="Arial"/>
              </w:rPr>
              <w:t>, monitor and report on key aspects of the organisation’s and individuals’ performance.</w:t>
            </w:r>
          </w:p>
          <w:p w14:paraId="097A8427" w14:textId="77777777" w:rsidR="00236D06" w:rsidRDefault="00236D06" w:rsidP="00236D06">
            <w:pPr>
              <w:spacing w:after="0" w:line="240" w:lineRule="auto"/>
              <w:ind w:left="37"/>
              <w:jc w:val="both"/>
              <w:rPr>
                <w:rFonts w:ascii="Arial" w:hAnsi="Arial" w:cs="Arial"/>
              </w:rPr>
            </w:pPr>
          </w:p>
        </w:tc>
        <w:tc>
          <w:tcPr>
            <w:tcW w:w="1559" w:type="dxa"/>
          </w:tcPr>
          <w:p w14:paraId="3C2C7D79" w14:textId="77777777" w:rsidR="0037403C" w:rsidRPr="00FA526B" w:rsidRDefault="0037403C" w:rsidP="000C0A5F">
            <w:pPr>
              <w:spacing w:after="0" w:line="240" w:lineRule="auto"/>
              <w:jc w:val="right"/>
              <w:rPr>
                <w:rFonts w:ascii="Arial" w:hAnsi="Arial" w:cs="Arial"/>
              </w:rPr>
            </w:pPr>
            <w:r>
              <w:rPr>
                <w:rFonts w:ascii="Arial" w:hAnsi="Arial" w:cs="Arial"/>
              </w:rPr>
              <w:t>CEO</w:t>
            </w:r>
          </w:p>
        </w:tc>
        <w:tc>
          <w:tcPr>
            <w:tcW w:w="2151" w:type="dxa"/>
          </w:tcPr>
          <w:p w14:paraId="11D6525E" w14:textId="77777777" w:rsidR="0037403C" w:rsidRPr="00943BEA" w:rsidRDefault="0037403C" w:rsidP="000C0A5F">
            <w:pPr>
              <w:spacing w:after="0" w:line="240" w:lineRule="auto"/>
              <w:jc w:val="right"/>
              <w:rPr>
                <w:rFonts w:ascii="Arial" w:hAnsi="Arial" w:cs="Arial"/>
              </w:rPr>
            </w:pPr>
            <w:r w:rsidRPr="00943BEA">
              <w:rPr>
                <w:rFonts w:ascii="Arial" w:hAnsi="Arial" w:cs="Arial"/>
              </w:rPr>
              <w:t>From 31/01/2019</w:t>
            </w:r>
          </w:p>
        </w:tc>
        <w:tc>
          <w:tcPr>
            <w:tcW w:w="2244" w:type="dxa"/>
          </w:tcPr>
          <w:p w14:paraId="66229798" w14:textId="77777777" w:rsidR="0037403C" w:rsidRPr="00FA526B" w:rsidRDefault="0037403C" w:rsidP="000C0A5F">
            <w:pPr>
              <w:spacing w:after="0" w:line="240" w:lineRule="auto"/>
              <w:jc w:val="right"/>
              <w:rPr>
                <w:rFonts w:ascii="Arial" w:hAnsi="Arial" w:cs="Arial"/>
              </w:rPr>
            </w:pPr>
            <w:r>
              <w:rPr>
                <w:rFonts w:ascii="Arial" w:hAnsi="Arial" w:cs="Arial"/>
              </w:rPr>
              <w:t>2, 3, 4</w:t>
            </w:r>
          </w:p>
        </w:tc>
      </w:tr>
      <w:tr w:rsidR="0037403C" w:rsidRPr="00FA526B" w14:paraId="6A913B0E" w14:textId="77777777" w:rsidTr="000C0A5F">
        <w:tc>
          <w:tcPr>
            <w:tcW w:w="8080" w:type="dxa"/>
          </w:tcPr>
          <w:p w14:paraId="26EB81B5" w14:textId="77777777" w:rsidR="0037403C" w:rsidRDefault="0037403C" w:rsidP="00FA526B">
            <w:pPr>
              <w:autoSpaceDE w:val="0"/>
              <w:autoSpaceDN w:val="0"/>
              <w:adjustRightInd w:val="0"/>
              <w:rPr>
                <w:rFonts w:ascii="Arial" w:hAnsi="Arial" w:cs="Arial"/>
              </w:rPr>
            </w:pPr>
            <w:r>
              <w:rPr>
                <w:rFonts w:ascii="Arial" w:hAnsi="Arial" w:cs="Arial"/>
              </w:rPr>
              <w:t>Provide an executive response setting out programme budgeting process</w:t>
            </w:r>
          </w:p>
        </w:tc>
        <w:tc>
          <w:tcPr>
            <w:tcW w:w="1559" w:type="dxa"/>
          </w:tcPr>
          <w:p w14:paraId="33DBB879" w14:textId="77777777" w:rsidR="0037403C" w:rsidRPr="00FA526B" w:rsidRDefault="0037403C" w:rsidP="000C0A5F">
            <w:pPr>
              <w:spacing w:after="0" w:line="240" w:lineRule="auto"/>
              <w:jc w:val="right"/>
              <w:rPr>
                <w:rFonts w:ascii="Arial" w:hAnsi="Arial" w:cs="Arial"/>
              </w:rPr>
            </w:pPr>
            <w:r>
              <w:rPr>
                <w:rFonts w:ascii="Arial" w:hAnsi="Arial" w:cs="Arial"/>
              </w:rPr>
              <w:t>COO</w:t>
            </w:r>
          </w:p>
        </w:tc>
        <w:tc>
          <w:tcPr>
            <w:tcW w:w="2151" w:type="dxa"/>
          </w:tcPr>
          <w:p w14:paraId="0F40CAE2" w14:textId="77777777" w:rsidR="0037403C" w:rsidRPr="00FA526B" w:rsidRDefault="0037403C" w:rsidP="000C0A5F">
            <w:pPr>
              <w:spacing w:after="0" w:line="240" w:lineRule="auto"/>
              <w:jc w:val="right"/>
              <w:rPr>
                <w:rFonts w:ascii="Arial" w:hAnsi="Arial" w:cs="Arial"/>
              </w:rPr>
            </w:pPr>
            <w:r>
              <w:rPr>
                <w:rFonts w:ascii="Arial" w:hAnsi="Arial" w:cs="Arial"/>
              </w:rPr>
              <w:t>30/06/2018</w:t>
            </w:r>
          </w:p>
        </w:tc>
        <w:tc>
          <w:tcPr>
            <w:tcW w:w="2244" w:type="dxa"/>
          </w:tcPr>
          <w:p w14:paraId="43B3FA2C" w14:textId="77777777" w:rsidR="0037403C" w:rsidRPr="00FA526B" w:rsidRDefault="0037403C" w:rsidP="000C0A5F">
            <w:pPr>
              <w:spacing w:after="0" w:line="240" w:lineRule="auto"/>
              <w:jc w:val="right"/>
              <w:rPr>
                <w:rFonts w:ascii="Arial" w:hAnsi="Arial" w:cs="Arial"/>
              </w:rPr>
            </w:pPr>
            <w:r>
              <w:rPr>
                <w:rFonts w:ascii="Arial" w:hAnsi="Arial" w:cs="Arial"/>
              </w:rPr>
              <w:t>5</w:t>
            </w:r>
          </w:p>
        </w:tc>
      </w:tr>
    </w:tbl>
    <w:p w14:paraId="60937674" w14:textId="77777777" w:rsidR="003D7D90" w:rsidRPr="00AD2E8F" w:rsidRDefault="003D7D90" w:rsidP="003D7D90">
      <w:pPr>
        <w:autoSpaceDE w:val="0"/>
        <w:autoSpaceDN w:val="0"/>
        <w:adjustRightInd w:val="0"/>
        <w:jc w:val="both"/>
        <w:rPr>
          <w:rFonts w:ascii="Arial" w:hAnsi="Arial" w:cs="Arial"/>
          <w:b/>
        </w:rPr>
      </w:pPr>
      <w:r>
        <w:rPr>
          <w:rFonts w:ascii="Arial" w:hAnsi="Arial" w:cs="Arial"/>
          <w:b/>
        </w:rPr>
        <w:lastRenderedPageBreak/>
        <w:t>C</w:t>
      </w:r>
      <w:r w:rsidRPr="00AD2E8F">
        <w:rPr>
          <w:rFonts w:ascii="Arial" w:hAnsi="Arial" w:cs="Arial"/>
          <w:b/>
        </w:rPr>
        <w:t xml:space="preserve">onclusion </w:t>
      </w:r>
    </w:p>
    <w:p w14:paraId="14342F56" w14:textId="77777777" w:rsidR="003D7D90" w:rsidRPr="00AD2E8F" w:rsidRDefault="00236D06" w:rsidP="003D7D90">
      <w:pPr>
        <w:autoSpaceDE w:val="0"/>
        <w:autoSpaceDN w:val="0"/>
        <w:adjustRightInd w:val="0"/>
        <w:jc w:val="both"/>
        <w:rPr>
          <w:rFonts w:ascii="Arial" w:hAnsi="Arial" w:cs="Arial"/>
        </w:rPr>
      </w:pPr>
      <w:r>
        <w:rPr>
          <w:rFonts w:ascii="Arial" w:hAnsi="Arial" w:cs="Arial"/>
        </w:rPr>
        <w:t>T</w:t>
      </w:r>
      <w:r w:rsidR="003D7D90" w:rsidRPr="00AD2E8F">
        <w:rPr>
          <w:rFonts w:ascii="Arial" w:hAnsi="Arial" w:cs="Arial"/>
        </w:rPr>
        <w:t xml:space="preserve">he SoJ welcomes the review and support of the PAC </w:t>
      </w:r>
      <w:r>
        <w:rPr>
          <w:rFonts w:ascii="Arial" w:hAnsi="Arial" w:cs="Arial"/>
        </w:rPr>
        <w:t xml:space="preserve">and, whilst </w:t>
      </w:r>
      <w:r w:rsidR="003D7D90" w:rsidRPr="00AD2E8F">
        <w:rPr>
          <w:rFonts w:ascii="Arial" w:hAnsi="Arial" w:cs="Arial"/>
        </w:rPr>
        <w:t>not agree</w:t>
      </w:r>
      <w:r>
        <w:rPr>
          <w:rFonts w:ascii="Arial" w:hAnsi="Arial" w:cs="Arial"/>
        </w:rPr>
        <w:t>ing</w:t>
      </w:r>
      <w:r w:rsidR="003D7D90" w:rsidRPr="00AD2E8F">
        <w:rPr>
          <w:rFonts w:ascii="Arial" w:hAnsi="Arial" w:cs="Arial"/>
        </w:rPr>
        <w:t xml:space="preserve"> with all findings</w:t>
      </w:r>
      <w:r>
        <w:rPr>
          <w:rFonts w:ascii="Arial" w:hAnsi="Arial" w:cs="Arial"/>
        </w:rPr>
        <w:t>, it accepts all recommendations</w:t>
      </w:r>
      <w:r w:rsidR="003D7D90" w:rsidRPr="00AD2E8F">
        <w:rPr>
          <w:rFonts w:ascii="Arial" w:hAnsi="Arial" w:cs="Arial"/>
        </w:rPr>
        <w:t>. It remains important to make the distinction between the eGov programme (a specific programme with associated deliverables and budget) and how this programme enables broader and more far reaching government digital transformation.</w:t>
      </w:r>
    </w:p>
    <w:p w14:paraId="3108BF00" w14:textId="77777777" w:rsidR="003D7D90" w:rsidRDefault="003D7D90" w:rsidP="003D7D90">
      <w:pPr>
        <w:autoSpaceDE w:val="0"/>
        <w:autoSpaceDN w:val="0"/>
        <w:adjustRightInd w:val="0"/>
        <w:jc w:val="both"/>
        <w:rPr>
          <w:rFonts w:ascii="Arial" w:hAnsi="Arial" w:cs="Arial"/>
        </w:rPr>
      </w:pPr>
      <w:r>
        <w:rPr>
          <w:rFonts w:ascii="Arial" w:hAnsi="Arial" w:cs="Arial"/>
        </w:rPr>
        <w:t>The</w:t>
      </w:r>
      <w:r w:rsidRPr="00AD2E8F">
        <w:rPr>
          <w:rFonts w:ascii="Arial" w:hAnsi="Arial" w:cs="Arial"/>
        </w:rPr>
        <w:t xml:space="preserve"> e-Gov programme was established to achieve the following:</w:t>
      </w:r>
    </w:p>
    <w:tbl>
      <w:tblPr>
        <w:tblStyle w:val="TableGrid"/>
        <w:tblW w:w="14317" w:type="dxa"/>
        <w:tblInd w:w="137" w:type="dxa"/>
        <w:tblLook w:val="04A0" w:firstRow="1" w:lastRow="0" w:firstColumn="1" w:lastColumn="0" w:noHBand="0" w:noVBand="1"/>
      </w:tblPr>
      <w:tblGrid>
        <w:gridCol w:w="2410"/>
        <w:gridCol w:w="5812"/>
        <w:gridCol w:w="6095"/>
      </w:tblGrid>
      <w:tr w:rsidR="003D7D90" w:rsidRPr="00AD2E8F" w14:paraId="521ED2B6" w14:textId="77777777" w:rsidTr="00236D06">
        <w:tc>
          <w:tcPr>
            <w:tcW w:w="2410" w:type="dxa"/>
            <w:shd w:val="clear" w:color="auto" w:fill="F2DBDB" w:themeFill="accent2" w:themeFillTint="33"/>
          </w:tcPr>
          <w:p w14:paraId="379424CA" w14:textId="77777777" w:rsidR="003D7D90" w:rsidRPr="00236D06" w:rsidRDefault="003D7D90" w:rsidP="00C760C4">
            <w:pPr>
              <w:jc w:val="both"/>
              <w:rPr>
                <w:rFonts w:ascii="Arial" w:hAnsi="Arial" w:cs="Arial"/>
                <w:b/>
                <w:sz w:val="22"/>
                <w:szCs w:val="24"/>
              </w:rPr>
            </w:pPr>
            <w:r w:rsidRPr="00236D06">
              <w:rPr>
                <w:rFonts w:ascii="Arial" w:hAnsi="Arial" w:cs="Arial"/>
                <w:b/>
                <w:sz w:val="22"/>
                <w:szCs w:val="24"/>
              </w:rPr>
              <w:t>Deliverable</w:t>
            </w:r>
          </w:p>
        </w:tc>
        <w:tc>
          <w:tcPr>
            <w:tcW w:w="5812" w:type="dxa"/>
            <w:shd w:val="clear" w:color="auto" w:fill="F2DBDB" w:themeFill="accent2" w:themeFillTint="33"/>
          </w:tcPr>
          <w:p w14:paraId="49541F4A" w14:textId="77777777" w:rsidR="003D7D90" w:rsidRPr="00236D06" w:rsidRDefault="003D7D90" w:rsidP="00C760C4">
            <w:pPr>
              <w:jc w:val="both"/>
              <w:rPr>
                <w:rFonts w:ascii="Arial" w:hAnsi="Arial" w:cs="Arial"/>
                <w:b/>
                <w:sz w:val="22"/>
                <w:szCs w:val="24"/>
              </w:rPr>
            </w:pPr>
            <w:r w:rsidRPr="00236D06">
              <w:rPr>
                <w:rFonts w:ascii="Arial" w:hAnsi="Arial" w:cs="Arial"/>
                <w:b/>
                <w:sz w:val="22"/>
                <w:szCs w:val="24"/>
              </w:rPr>
              <w:t>Progress</w:t>
            </w:r>
          </w:p>
        </w:tc>
        <w:tc>
          <w:tcPr>
            <w:tcW w:w="6095" w:type="dxa"/>
            <w:shd w:val="clear" w:color="auto" w:fill="F2DBDB" w:themeFill="accent2" w:themeFillTint="33"/>
          </w:tcPr>
          <w:p w14:paraId="3B4145C8" w14:textId="77777777" w:rsidR="003D7D90" w:rsidRPr="00236D06" w:rsidRDefault="003D7D90" w:rsidP="00C760C4">
            <w:pPr>
              <w:jc w:val="both"/>
              <w:rPr>
                <w:rFonts w:ascii="Arial" w:hAnsi="Arial" w:cs="Arial"/>
                <w:b/>
                <w:sz w:val="22"/>
                <w:szCs w:val="24"/>
              </w:rPr>
            </w:pPr>
            <w:r w:rsidRPr="00236D06">
              <w:rPr>
                <w:rFonts w:ascii="Arial" w:hAnsi="Arial" w:cs="Arial"/>
                <w:b/>
                <w:sz w:val="22"/>
                <w:szCs w:val="24"/>
              </w:rPr>
              <w:t>Next steps</w:t>
            </w:r>
          </w:p>
        </w:tc>
      </w:tr>
      <w:tr w:rsidR="003D7D90" w:rsidRPr="00AD2E8F" w14:paraId="63B7AFB9" w14:textId="77777777" w:rsidTr="00236D06">
        <w:tc>
          <w:tcPr>
            <w:tcW w:w="2410" w:type="dxa"/>
          </w:tcPr>
          <w:p w14:paraId="03866DC8"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Customer portal</w:t>
            </w:r>
          </w:p>
        </w:tc>
        <w:tc>
          <w:tcPr>
            <w:tcW w:w="5812" w:type="dxa"/>
          </w:tcPr>
          <w:p w14:paraId="572E4714"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Launched to beta November 2017</w:t>
            </w:r>
          </w:p>
        </w:tc>
        <w:tc>
          <w:tcPr>
            <w:tcW w:w="6095" w:type="dxa"/>
          </w:tcPr>
          <w:p w14:paraId="2569B7AA" w14:textId="77777777" w:rsidR="003D7D90" w:rsidRPr="00236D06" w:rsidRDefault="003D7D90" w:rsidP="00236D06">
            <w:pPr>
              <w:jc w:val="both"/>
              <w:rPr>
                <w:rFonts w:ascii="Arial" w:hAnsi="Arial" w:cs="Arial"/>
                <w:sz w:val="22"/>
                <w:szCs w:val="24"/>
              </w:rPr>
            </w:pPr>
            <w:r w:rsidRPr="00236D06">
              <w:rPr>
                <w:rFonts w:ascii="Arial" w:hAnsi="Arial" w:cs="Arial"/>
                <w:sz w:val="22"/>
                <w:szCs w:val="24"/>
              </w:rPr>
              <w:t xml:space="preserve">Integration with Customer Services Platform due </w:t>
            </w:r>
            <w:r w:rsidR="00236D06">
              <w:rPr>
                <w:rFonts w:ascii="Arial" w:hAnsi="Arial" w:cs="Arial"/>
                <w:sz w:val="22"/>
                <w:szCs w:val="24"/>
              </w:rPr>
              <w:t xml:space="preserve">mid </w:t>
            </w:r>
            <w:r w:rsidRPr="00236D06">
              <w:rPr>
                <w:rFonts w:ascii="Arial" w:hAnsi="Arial" w:cs="Arial"/>
                <w:sz w:val="22"/>
                <w:szCs w:val="24"/>
              </w:rPr>
              <w:t>2018</w:t>
            </w:r>
          </w:p>
        </w:tc>
      </w:tr>
      <w:tr w:rsidR="003D7D90" w:rsidRPr="00AD2E8F" w14:paraId="4A48EC95" w14:textId="77777777" w:rsidTr="00236D06">
        <w:tc>
          <w:tcPr>
            <w:tcW w:w="2410" w:type="dxa"/>
          </w:tcPr>
          <w:p w14:paraId="18DD4A8A"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Integration platform</w:t>
            </w:r>
          </w:p>
        </w:tc>
        <w:tc>
          <w:tcPr>
            <w:tcW w:w="5812" w:type="dxa"/>
          </w:tcPr>
          <w:p w14:paraId="7C814D0C"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Product and implementation capability selected</w:t>
            </w:r>
          </w:p>
        </w:tc>
        <w:tc>
          <w:tcPr>
            <w:tcW w:w="6095" w:type="dxa"/>
          </w:tcPr>
          <w:p w14:paraId="0775B90D" w14:textId="77777777" w:rsidR="003D7D90" w:rsidRPr="00236D06" w:rsidRDefault="003D7D90" w:rsidP="0032044B">
            <w:pPr>
              <w:jc w:val="both"/>
              <w:rPr>
                <w:rFonts w:ascii="Arial" w:hAnsi="Arial" w:cs="Arial"/>
                <w:sz w:val="22"/>
                <w:szCs w:val="24"/>
              </w:rPr>
            </w:pPr>
            <w:r w:rsidRPr="00236D06">
              <w:rPr>
                <w:rFonts w:ascii="Arial" w:hAnsi="Arial" w:cs="Arial"/>
                <w:sz w:val="22"/>
                <w:szCs w:val="24"/>
              </w:rPr>
              <w:t>Implementation with Customer Service Platform due Q3 2018</w:t>
            </w:r>
          </w:p>
        </w:tc>
      </w:tr>
      <w:tr w:rsidR="003D7D90" w:rsidRPr="00AD2E8F" w14:paraId="5FA3F5F1" w14:textId="77777777" w:rsidTr="00236D06">
        <w:tc>
          <w:tcPr>
            <w:tcW w:w="2410" w:type="dxa"/>
          </w:tcPr>
          <w:p w14:paraId="6AA8E731"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People directory</w:t>
            </w:r>
          </w:p>
        </w:tc>
        <w:tc>
          <w:tcPr>
            <w:tcW w:w="5812" w:type="dxa"/>
          </w:tcPr>
          <w:p w14:paraId="6CBA458C"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 xml:space="preserve">Built and tested </w:t>
            </w:r>
          </w:p>
        </w:tc>
        <w:tc>
          <w:tcPr>
            <w:tcW w:w="6095" w:type="dxa"/>
          </w:tcPr>
          <w:p w14:paraId="410B0AA3" w14:textId="77777777" w:rsidR="003D7D90" w:rsidRPr="00236D06" w:rsidRDefault="003D7D90" w:rsidP="0032044B">
            <w:pPr>
              <w:jc w:val="both"/>
              <w:rPr>
                <w:rFonts w:ascii="Arial" w:hAnsi="Arial" w:cs="Arial"/>
                <w:sz w:val="22"/>
                <w:szCs w:val="24"/>
              </w:rPr>
            </w:pPr>
            <w:r w:rsidRPr="00236D06">
              <w:rPr>
                <w:rFonts w:ascii="Arial" w:hAnsi="Arial" w:cs="Arial"/>
                <w:sz w:val="22"/>
                <w:szCs w:val="24"/>
              </w:rPr>
              <w:t>Population of data and integration with Customer Services Platform due Q3 2018</w:t>
            </w:r>
          </w:p>
        </w:tc>
      </w:tr>
      <w:tr w:rsidR="003D7D90" w:rsidRPr="00AD2E8F" w14:paraId="14BAE899" w14:textId="77777777" w:rsidTr="00236D06">
        <w:tc>
          <w:tcPr>
            <w:tcW w:w="2410" w:type="dxa"/>
          </w:tcPr>
          <w:p w14:paraId="301EF984"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Digital ID</w:t>
            </w:r>
          </w:p>
        </w:tc>
        <w:tc>
          <w:tcPr>
            <w:tcW w:w="5812" w:type="dxa"/>
          </w:tcPr>
          <w:p w14:paraId="2F570410"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Preferred supplier appointed December 2017. Contract signed March 2018</w:t>
            </w:r>
          </w:p>
        </w:tc>
        <w:tc>
          <w:tcPr>
            <w:tcW w:w="6095" w:type="dxa"/>
          </w:tcPr>
          <w:p w14:paraId="38439BC0"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Isolated uses launched during Q2 2018, integration with Customer Services Platform due Q3 2018</w:t>
            </w:r>
          </w:p>
        </w:tc>
      </w:tr>
      <w:tr w:rsidR="003D7D90" w:rsidRPr="00AD2E8F" w14:paraId="770C8B74" w14:textId="77777777" w:rsidTr="00236D06">
        <w:tc>
          <w:tcPr>
            <w:tcW w:w="2410" w:type="dxa"/>
          </w:tcPr>
          <w:p w14:paraId="6179F2DF"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ePayments</w:t>
            </w:r>
          </w:p>
        </w:tc>
        <w:tc>
          <w:tcPr>
            <w:tcW w:w="5812" w:type="dxa"/>
          </w:tcPr>
          <w:p w14:paraId="1E67452F"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Income Collection and Reconciliation providers selected in Q4 2017, contracts signed during Q1 2018.</w:t>
            </w:r>
          </w:p>
        </w:tc>
        <w:tc>
          <w:tcPr>
            <w:tcW w:w="6095" w:type="dxa"/>
          </w:tcPr>
          <w:p w14:paraId="7AD5CC53"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Integration with Customer Services Platform due Q3 2018</w:t>
            </w:r>
          </w:p>
        </w:tc>
      </w:tr>
      <w:tr w:rsidR="003D7D90" w:rsidRPr="00AD2E8F" w14:paraId="40F423A8" w14:textId="77777777" w:rsidTr="00236D06">
        <w:tc>
          <w:tcPr>
            <w:tcW w:w="2410" w:type="dxa"/>
          </w:tcPr>
          <w:p w14:paraId="374ED25C" w14:textId="77777777" w:rsidR="003D7D90" w:rsidRPr="00236D06" w:rsidRDefault="003D7D90" w:rsidP="00236D06">
            <w:pPr>
              <w:jc w:val="both"/>
              <w:rPr>
                <w:rFonts w:ascii="Arial" w:hAnsi="Arial" w:cs="Arial"/>
                <w:sz w:val="22"/>
                <w:szCs w:val="24"/>
              </w:rPr>
            </w:pPr>
            <w:r w:rsidRPr="00236D06">
              <w:rPr>
                <w:rFonts w:ascii="Arial" w:hAnsi="Arial" w:cs="Arial"/>
                <w:sz w:val="22"/>
                <w:szCs w:val="24"/>
              </w:rPr>
              <w:t xml:space="preserve">Business platform </w:t>
            </w:r>
          </w:p>
        </w:tc>
        <w:tc>
          <w:tcPr>
            <w:tcW w:w="5812" w:type="dxa"/>
          </w:tcPr>
          <w:p w14:paraId="65E8D894" w14:textId="77777777" w:rsidR="003D7D90" w:rsidRPr="00236D06" w:rsidRDefault="003D7D90" w:rsidP="00236D06">
            <w:pPr>
              <w:jc w:val="both"/>
              <w:rPr>
                <w:rFonts w:ascii="Arial" w:hAnsi="Arial" w:cs="Arial"/>
                <w:sz w:val="22"/>
                <w:szCs w:val="24"/>
              </w:rPr>
            </w:pPr>
            <w:r w:rsidRPr="00236D06">
              <w:rPr>
                <w:rFonts w:ascii="Arial" w:hAnsi="Arial" w:cs="Arial"/>
                <w:sz w:val="22"/>
                <w:szCs w:val="24"/>
              </w:rPr>
              <w:t>Project initiated Q1 2018</w:t>
            </w:r>
            <w:r w:rsidR="00236D06">
              <w:rPr>
                <w:rFonts w:ascii="Arial" w:hAnsi="Arial" w:cs="Arial"/>
                <w:sz w:val="22"/>
                <w:szCs w:val="24"/>
              </w:rPr>
              <w:t xml:space="preserve">, scope </w:t>
            </w:r>
            <w:r w:rsidR="00236D06" w:rsidRPr="00236D06">
              <w:rPr>
                <w:rFonts w:ascii="Arial" w:hAnsi="Arial" w:cs="Arial"/>
                <w:sz w:val="22"/>
                <w:szCs w:val="24"/>
              </w:rPr>
              <w:t>includ</w:t>
            </w:r>
            <w:r w:rsidR="00236D06">
              <w:rPr>
                <w:rFonts w:ascii="Arial" w:hAnsi="Arial" w:cs="Arial"/>
                <w:sz w:val="22"/>
                <w:szCs w:val="24"/>
              </w:rPr>
              <w:t>es</w:t>
            </w:r>
            <w:r w:rsidR="00236D06" w:rsidRPr="00236D06">
              <w:rPr>
                <w:rFonts w:ascii="Arial" w:hAnsi="Arial" w:cs="Arial"/>
                <w:sz w:val="22"/>
                <w:szCs w:val="24"/>
              </w:rPr>
              <w:t xml:space="preserve"> </w:t>
            </w:r>
            <w:r w:rsidR="00236D06">
              <w:rPr>
                <w:rFonts w:ascii="Arial" w:hAnsi="Arial" w:cs="Arial"/>
                <w:sz w:val="22"/>
                <w:szCs w:val="24"/>
              </w:rPr>
              <w:t>portal, ID and directory</w:t>
            </w:r>
          </w:p>
        </w:tc>
        <w:tc>
          <w:tcPr>
            <w:tcW w:w="6095" w:type="dxa"/>
          </w:tcPr>
          <w:p w14:paraId="30C998B5"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Integrated Business Services Platform due Q4 2018</w:t>
            </w:r>
          </w:p>
        </w:tc>
      </w:tr>
      <w:tr w:rsidR="003D7D90" w:rsidRPr="00AD2E8F" w14:paraId="55CB591A" w14:textId="77777777" w:rsidTr="00236D06">
        <w:tc>
          <w:tcPr>
            <w:tcW w:w="2410" w:type="dxa"/>
          </w:tcPr>
          <w:p w14:paraId="7108BDF1"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Design Authority</w:t>
            </w:r>
          </w:p>
        </w:tc>
        <w:tc>
          <w:tcPr>
            <w:tcW w:w="5812" w:type="dxa"/>
          </w:tcPr>
          <w:p w14:paraId="776BC58D"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Established and operational in 2016</w:t>
            </w:r>
          </w:p>
        </w:tc>
        <w:tc>
          <w:tcPr>
            <w:tcW w:w="6095" w:type="dxa"/>
          </w:tcPr>
          <w:p w14:paraId="7C86ADED" w14:textId="77777777" w:rsidR="003D7D90" w:rsidRPr="00236D06" w:rsidRDefault="003D7D90" w:rsidP="00C760C4">
            <w:pPr>
              <w:jc w:val="both"/>
              <w:rPr>
                <w:rFonts w:ascii="Arial" w:hAnsi="Arial" w:cs="Arial"/>
                <w:sz w:val="22"/>
                <w:szCs w:val="24"/>
              </w:rPr>
            </w:pPr>
            <w:r w:rsidRPr="00236D06">
              <w:rPr>
                <w:rFonts w:ascii="Arial" w:hAnsi="Arial" w:cs="Arial"/>
                <w:sz w:val="22"/>
                <w:szCs w:val="24"/>
              </w:rPr>
              <w:t>BAU</w:t>
            </w:r>
          </w:p>
        </w:tc>
      </w:tr>
    </w:tbl>
    <w:p w14:paraId="75262BF5" w14:textId="77777777" w:rsidR="000C0A5F" w:rsidRDefault="000C0A5F" w:rsidP="003D7D90">
      <w:pPr>
        <w:jc w:val="both"/>
        <w:rPr>
          <w:rFonts w:ascii="Arial" w:hAnsi="Arial" w:cs="Arial"/>
        </w:rPr>
      </w:pPr>
    </w:p>
    <w:p w14:paraId="54715D53" w14:textId="77777777" w:rsidR="003D7D90" w:rsidRDefault="003D7D90" w:rsidP="003D7D90">
      <w:pPr>
        <w:jc w:val="both"/>
        <w:rPr>
          <w:rFonts w:ascii="Arial" w:hAnsi="Arial"/>
        </w:rPr>
      </w:pPr>
      <w:r>
        <w:rPr>
          <w:rFonts w:ascii="Arial" w:hAnsi="Arial" w:cs="Arial"/>
        </w:rPr>
        <w:t>The Chief Executive has made it clear that the eGov programme is fundamental to</w:t>
      </w:r>
      <w:r>
        <w:rPr>
          <w:rFonts w:ascii="Arial" w:hAnsi="Arial"/>
        </w:rPr>
        <w:t xml:space="preserve"> the restructuring of Jersey’s public services and the provision of integrated, online services to </w:t>
      </w:r>
      <w:r w:rsidRPr="00594616">
        <w:rPr>
          <w:rFonts w:ascii="Arial" w:hAnsi="Arial"/>
        </w:rPr>
        <w:t xml:space="preserve">islanders. We have </w:t>
      </w:r>
      <w:r>
        <w:rPr>
          <w:rFonts w:ascii="Arial" w:hAnsi="Arial"/>
        </w:rPr>
        <w:t xml:space="preserve">now </w:t>
      </w:r>
      <w:r w:rsidRPr="00594616">
        <w:rPr>
          <w:rFonts w:ascii="Arial" w:hAnsi="Arial"/>
        </w:rPr>
        <w:t>established one set of standards for all our online services</w:t>
      </w:r>
      <w:r>
        <w:rPr>
          <w:rFonts w:ascii="Arial" w:hAnsi="Arial"/>
        </w:rPr>
        <w:t xml:space="preserve">. We have selected </w:t>
      </w:r>
      <w:r w:rsidRPr="00594616">
        <w:rPr>
          <w:rFonts w:ascii="Arial" w:hAnsi="Arial"/>
        </w:rPr>
        <w:t xml:space="preserve">a digital ID system that allows islanders to interact with government on a confidential, secure basis. This </w:t>
      </w:r>
      <w:r>
        <w:rPr>
          <w:rFonts w:ascii="Arial" w:hAnsi="Arial"/>
        </w:rPr>
        <w:t>programme supports the</w:t>
      </w:r>
      <w:r w:rsidRPr="00594616">
        <w:rPr>
          <w:rFonts w:ascii="Arial" w:hAnsi="Arial"/>
        </w:rPr>
        <w:t xml:space="preserve"> modernis</w:t>
      </w:r>
      <w:r>
        <w:rPr>
          <w:rFonts w:ascii="Arial" w:hAnsi="Arial"/>
        </w:rPr>
        <w:t>ation of</w:t>
      </w:r>
      <w:r w:rsidRPr="00594616">
        <w:rPr>
          <w:rFonts w:ascii="Arial" w:hAnsi="Arial"/>
        </w:rPr>
        <w:t xml:space="preserve"> the States of Jersey, and </w:t>
      </w:r>
      <w:r>
        <w:rPr>
          <w:rFonts w:ascii="Arial" w:hAnsi="Arial"/>
        </w:rPr>
        <w:t>the development of</w:t>
      </w:r>
      <w:r w:rsidRPr="00594616">
        <w:rPr>
          <w:rFonts w:ascii="Arial" w:hAnsi="Arial"/>
        </w:rPr>
        <w:t xml:space="preserve"> a</w:t>
      </w:r>
      <w:r>
        <w:rPr>
          <w:rFonts w:ascii="Arial" w:hAnsi="Arial"/>
        </w:rPr>
        <w:t xml:space="preserve"> more</w:t>
      </w:r>
      <w:r w:rsidRPr="00594616">
        <w:rPr>
          <w:rFonts w:ascii="Arial" w:hAnsi="Arial"/>
        </w:rPr>
        <w:t xml:space="preserve"> effective, efficient and responsive public sector, with </w:t>
      </w:r>
      <w:r>
        <w:rPr>
          <w:rFonts w:ascii="Arial" w:hAnsi="Arial"/>
        </w:rPr>
        <w:t>high quality</w:t>
      </w:r>
      <w:r w:rsidRPr="00594616">
        <w:rPr>
          <w:rFonts w:ascii="Arial" w:hAnsi="Arial"/>
        </w:rPr>
        <w:t xml:space="preserve"> services at its core.</w:t>
      </w:r>
    </w:p>
    <w:p w14:paraId="1C1614CB" w14:textId="77777777" w:rsidR="003D7D90" w:rsidRDefault="003D7D90" w:rsidP="003D7D90">
      <w:pPr>
        <w:jc w:val="both"/>
        <w:rPr>
          <w:rFonts w:ascii="Arial" w:hAnsi="Arial" w:cs="Arial"/>
        </w:rPr>
      </w:pPr>
      <w:r w:rsidRPr="00AD2E8F">
        <w:rPr>
          <w:rFonts w:ascii="Arial" w:hAnsi="Arial" w:cs="Arial"/>
        </w:rPr>
        <w:t>With the eGov programme due to complete in 2018 and the significant changes to the SoJ structure proposed by the new CEO, the S</w:t>
      </w:r>
      <w:r>
        <w:rPr>
          <w:rFonts w:ascii="Arial" w:hAnsi="Arial" w:cs="Arial"/>
        </w:rPr>
        <w:t>tates of Jersey is</w:t>
      </w:r>
      <w:r w:rsidRPr="00AD2E8F">
        <w:rPr>
          <w:rFonts w:ascii="Arial" w:hAnsi="Arial" w:cs="Arial"/>
        </w:rPr>
        <w:t xml:space="preserve"> well positioned to accelerate its digital transformation journey</w:t>
      </w:r>
      <w:r>
        <w:rPr>
          <w:rFonts w:ascii="Arial" w:hAnsi="Arial" w:cs="Arial"/>
        </w:rPr>
        <w:t>, the next phase of eGovernment.</w:t>
      </w:r>
    </w:p>
    <w:sectPr w:rsidR="003D7D90" w:rsidSect="000C0A5F">
      <w:footerReference w:type="even" r:id="rId8"/>
      <w:footerReference w:type="default" r:id="rId9"/>
      <w:pgSz w:w="16838" w:h="11906" w:orient="landscape"/>
      <w:pgMar w:top="1170"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6A2F4" w14:textId="77777777" w:rsidR="00046D32" w:rsidRDefault="00046D32" w:rsidP="00BE5988">
      <w:pPr>
        <w:spacing w:after="0" w:line="240" w:lineRule="auto"/>
      </w:pPr>
      <w:r>
        <w:separator/>
      </w:r>
    </w:p>
  </w:endnote>
  <w:endnote w:type="continuationSeparator" w:id="0">
    <w:p w14:paraId="6C052B6B" w14:textId="77777777" w:rsidR="00046D32" w:rsidRDefault="00046D32" w:rsidP="00BE5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88302" w14:textId="77777777" w:rsidR="009F52C5" w:rsidRDefault="009F52C5" w:rsidP="00CA04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86D1DF" w14:textId="77777777" w:rsidR="009F52C5" w:rsidRDefault="009F52C5" w:rsidP="00292F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48D6" w14:textId="77777777" w:rsidR="009F52C5" w:rsidRDefault="009F52C5" w:rsidP="00292F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DC8F4" w14:textId="77777777" w:rsidR="00046D32" w:rsidRDefault="00046D32" w:rsidP="00BE5988">
      <w:pPr>
        <w:spacing w:after="0" w:line="240" w:lineRule="auto"/>
      </w:pPr>
      <w:r>
        <w:separator/>
      </w:r>
    </w:p>
  </w:footnote>
  <w:footnote w:type="continuationSeparator" w:id="0">
    <w:p w14:paraId="59147B80" w14:textId="77777777" w:rsidR="00046D32" w:rsidRDefault="00046D32" w:rsidP="00BE59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E85"/>
    <w:multiLevelType w:val="hybridMultilevel"/>
    <w:tmpl w:val="0CC0986E"/>
    <w:lvl w:ilvl="0" w:tplc="1DCEBAF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33228"/>
    <w:multiLevelType w:val="hybridMultilevel"/>
    <w:tmpl w:val="D394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65DA0"/>
    <w:multiLevelType w:val="hybridMultilevel"/>
    <w:tmpl w:val="F81A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A153F"/>
    <w:multiLevelType w:val="hybridMultilevel"/>
    <w:tmpl w:val="AE7667C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7491CCD"/>
    <w:multiLevelType w:val="hybridMultilevel"/>
    <w:tmpl w:val="5E4035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A01C14"/>
    <w:multiLevelType w:val="hybridMultilevel"/>
    <w:tmpl w:val="B798B57E"/>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0C2055EC"/>
    <w:multiLevelType w:val="hybridMultilevel"/>
    <w:tmpl w:val="FFB4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F2DB1"/>
    <w:multiLevelType w:val="hybridMultilevel"/>
    <w:tmpl w:val="3446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FC5CD7"/>
    <w:multiLevelType w:val="hybridMultilevel"/>
    <w:tmpl w:val="F8A09B6A"/>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F4E2794"/>
    <w:multiLevelType w:val="hybridMultilevel"/>
    <w:tmpl w:val="4488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F372E"/>
    <w:multiLevelType w:val="hybridMultilevel"/>
    <w:tmpl w:val="8A06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9491B"/>
    <w:multiLevelType w:val="hybridMultilevel"/>
    <w:tmpl w:val="9CE8E25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2F731B67"/>
    <w:multiLevelType w:val="hybridMultilevel"/>
    <w:tmpl w:val="FAC28ED8"/>
    <w:lvl w:ilvl="0" w:tplc="04DE3B88">
      <w:start w:val="1"/>
      <w:numFmt w:val="decimal"/>
      <w:lvlText w:val="4.%1"/>
      <w:lvlJc w:val="left"/>
      <w:pPr>
        <w:ind w:left="10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43594"/>
    <w:multiLevelType w:val="hybridMultilevel"/>
    <w:tmpl w:val="3D6A7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780E30"/>
    <w:multiLevelType w:val="hybridMultilevel"/>
    <w:tmpl w:val="0E1A3D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77F7B"/>
    <w:multiLevelType w:val="hybridMultilevel"/>
    <w:tmpl w:val="35323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9B37B0"/>
    <w:multiLevelType w:val="hybridMultilevel"/>
    <w:tmpl w:val="2D0EF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1E731E"/>
    <w:multiLevelType w:val="hybridMultilevel"/>
    <w:tmpl w:val="72848D26"/>
    <w:lvl w:ilvl="0" w:tplc="08090001">
      <w:start w:val="1"/>
      <w:numFmt w:val="bullet"/>
      <w:lvlText w:val=""/>
      <w:lvlJc w:val="left"/>
      <w:pPr>
        <w:ind w:left="360" w:hanging="360"/>
      </w:pPr>
      <w:rPr>
        <w:rFonts w:ascii="Symbol" w:hAnsi="Symbol" w:hint="default"/>
      </w:rPr>
    </w:lvl>
    <w:lvl w:ilvl="1" w:tplc="2EE8E3B6">
      <w:start w:val="1"/>
      <w:numFmt w:val="bullet"/>
      <w:lvlText w:val=""/>
      <w:lvlJc w:val="left"/>
      <w:pPr>
        <w:tabs>
          <w:tab w:val="num" w:pos="890"/>
        </w:tabs>
        <w:ind w:left="890" w:hanging="170"/>
      </w:pPr>
      <w:rPr>
        <w:rFonts w:ascii="Symbol" w:hAnsi="Symbol" w:hint="default"/>
        <w:b w:val="0"/>
        <w:i w:val="0"/>
        <w:color w:val="auto"/>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3B2477"/>
    <w:multiLevelType w:val="hybridMultilevel"/>
    <w:tmpl w:val="84CE7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D6F05"/>
    <w:multiLevelType w:val="hybridMultilevel"/>
    <w:tmpl w:val="D8F8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80D2E"/>
    <w:multiLevelType w:val="hybridMultilevel"/>
    <w:tmpl w:val="FE8A9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41A72"/>
    <w:multiLevelType w:val="hybridMultilevel"/>
    <w:tmpl w:val="8E3E8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2F58FC"/>
    <w:multiLevelType w:val="hybridMultilevel"/>
    <w:tmpl w:val="1E4CB3BE"/>
    <w:lvl w:ilvl="0" w:tplc="B13846A8">
      <w:start w:val="1"/>
      <w:numFmt w:val="bullet"/>
      <w:lvlText w:val=""/>
      <w:lvlJc w:val="left"/>
      <w:pPr>
        <w:tabs>
          <w:tab w:val="num" w:pos="-64"/>
        </w:tabs>
        <w:ind w:left="106" w:hanging="170"/>
      </w:pPr>
      <w:rPr>
        <w:rFonts w:ascii="Wingdings" w:hAnsi="Wingdings" w:hint="default"/>
        <w:color w:val="auto"/>
        <w:sz w:val="16"/>
      </w:rPr>
    </w:lvl>
    <w:lvl w:ilvl="1" w:tplc="08090003" w:tentative="1">
      <w:start w:val="1"/>
      <w:numFmt w:val="bullet"/>
      <w:lvlText w:val="o"/>
      <w:lvlJc w:val="left"/>
      <w:pPr>
        <w:tabs>
          <w:tab w:val="num" w:pos="1376"/>
        </w:tabs>
        <w:ind w:left="1376" w:hanging="360"/>
      </w:pPr>
      <w:rPr>
        <w:rFonts w:ascii="Courier New" w:hAnsi="Courier New" w:hint="default"/>
      </w:rPr>
    </w:lvl>
    <w:lvl w:ilvl="2" w:tplc="08090005" w:tentative="1">
      <w:start w:val="1"/>
      <w:numFmt w:val="bullet"/>
      <w:lvlText w:val=""/>
      <w:lvlJc w:val="left"/>
      <w:pPr>
        <w:tabs>
          <w:tab w:val="num" w:pos="2096"/>
        </w:tabs>
        <w:ind w:left="2096" w:hanging="360"/>
      </w:pPr>
      <w:rPr>
        <w:rFonts w:ascii="Wingdings" w:hAnsi="Wingdings" w:hint="default"/>
      </w:rPr>
    </w:lvl>
    <w:lvl w:ilvl="3" w:tplc="08090001" w:tentative="1">
      <w:start w:val="1"/>
      <w:numFmt w:val="bullet"/>
      <w:lvlText w:val=""/>
      <w:lvlJc w:val="left"/>
      <w:pPr>
        <w:tabs>
          <w:tab w:val="num" w:pos="2816"/>
        </w:tabs>
        <w:ind w:left="2816" w:hanging="360"/>
      </w:pPr>
      <w:rPr>
        <w:rFonts w:ascii="Symbol" w:hAnsi="Symbol" w:hint="default"/>
      </w:rPr>
    </w:lvl>
    <w:lvl w:ilvl="4" w:tplc="08090003" w:tentative="1">
      <w:start w:val="1"/>
      <w:numFmt w:val="bullet"/>
      <w:lvlText w:val="o"/>
      <w:lvlJc w:val="left"/>
      <w:pPr>
        <w:tabs>
          <w:tab w:val="num" w:pos="3536"/>
        </w:tabs>
        <w:ind w:left="3536" w:hanging="360"/>
      </w:pPr>
      <w:rPr>
        <w:rFonts w:ascii="Courier New" w:hAnsi="Courier New" w:hint="default"/>
      </w:rPr>
    </w:lvl>
    <w:lvl w:ilvl="5" w:tplc="08090005" w:tentative="1">
      <w:start w:val="1"/>
      <w:numFmt w:val="bullet"/>
      <w:lvlText w:val=""/>
      <w:lvlJc w:val="left"/>
      <w:pPr>
        <w:tabs>
          <w:tab w:val="num" w:pos="4256"/>
        </w:tabs>
        <w:ind w:left="4256" w:hanging="360"/>
      </w:pPr>
      <w:rPr>
        <w:rFonts w:ascii="Wingdings" w:hAnsi="Wingdings" w:hint="default"/>
      </w:rPr>
    </w:lvl>
    <w:lvl w:ilvl="6" w:tplc="08090001" w:tentative="1">
      <w:start w:val="1"/>
      <w:numFmt w:val="bullet"/>
      <w:lvlText w:val=""/>
      <w:lvlJc w:val="left"/>
      <w:pPr>
        <w:tabs>
          <w:tab w:val="num" w:pos="4976"/>
        </w:tabs>
        <w:ind w:left="4976" w:hanging="360"/>
      </w:pPr>
      <w:rPr>
        <w:rFonts w:ascii="Symbol" w:hAnsi="Symbol" w:hint="default"/>
      </w:rPr>
    </w:lvl>
    <w:lvl w:ilvl="7" w:tplc="08090003" w:tentative="1">
      <w:start w:val="1"/>
      <w:numFmt w:val="bullet"/>
      <w:lvlText w:val="o"/>
      <w:lvlJc w:val="left"/>
      <w:pPr>
        <w:tabs>
          <w:tab w:val="num" w:pos="5696"/>
        </w:tabs>
        <w:ind w:left="5696" w:hanging="360"/>
      </w:pPr>
      <w:rPr>
        <w:rFonts w:ascii="Courier New" w:hAnsi="Courier New" w:hint="default"/>
      </w:rPr>
    </w:lvl>
    <w:lvl w:ilvl="8" w:tplc="08090005" w:tentative="1">
      <w:start w:val="1"/>
      <w:numFmt w:val="bullet"/>
      <w:lvlText w:val=""/>
      <w:lvlJc w:val="left"/>
      <w:pPr>
        <w:tabs>
          <w:tab w:val="num" w:pos="6416"/>
        </w:tabs>
        <w:ind w:left="6416" w:hanging="360"/>
      </w:pPr>
      <w:rPr>
        <w:rFonts w:ascii="Wingdings" w:hAnsi="Wingdings" w:hint="default"/>
      </w:rPr>
    </w:lvl>
  </w:abstractNum>
  <w:abstractNum w:abstractNumId="23" w15:restartNumberingAfterBreak="0">
    <w:nsid w:val="4E277E24"/>
    <w:multiLevelType w:val="hybridMultilevel"/>
    <w:tmpl w:val="EDC8B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E10C0"/>
    <w:multiLevelType w:val="hybridMultilevel"/>
    <w:tmpl w:val="6DBEB1D8"/>
    <w:lvl w:ilvl="0" w:tplc="4678B74C">
      <w:start w:val="1"/>
      <w:numFmt w:val="lowerRoman"/>
      <w:lvlText w:val="%1)"/>
      <w:lvlJc w:val="left"/>
      <w:pPr>
        <w:tabs>
          <w:tab w:val="num" w:pos="963"/>
        </w:tabs>
        <w:ind w:left="963" w:hanging="720"/>
      </w:pPr>
      <w:rPr>
        <w:rFonts w:cs="Times New Roman" w:hint="default"/>
      </w:rPr>
    </w:lvl>
    <w:lvl w:ilvl="1" w:tplc="08090019" w:tentative="1">
      <w:start w:val="1"/>
      <w:numFmt w:val="lowerLetter"/>
      <w:lvlText w:val="%2."/>
      <w:lvlJc w:val="left"/>
      <w:pPr>
        <w:tabs>
          <w:tab w:val="num" w:pos="1323"/>
        </w:tabs>
        <w:ind w:left="1323" w:hanging="360"/>
      </w:pPr>
      <w:rPr>
        <w:rFonts w:cs="Times New Roman"/>
      </w:rPr>
    </w:lvl>
    <w:lvl w:ilvl="2" w:tplc="0809001B" w:tentative="1">
      <w:start w:val="1"/>
      <w:numFmt w:val="lowerRoman"/>
      <w:lvlText w:val="%3."/>
      <w:lvlJc w:val="right"/>
      <w:pPr>
        <w:tabs>
          <w:tab w:val="num" w:pos="2043"/>
        </w:tabs>
        <w:ind w:left="2043" w:hanging="180"/>
      </w:pPr>
      <w:rPr>
        <w:rFonts w:cs="Times New Roman"/>
      </w:rPr>
    </w:lvl>
    <w:lvl w:ilvl="3" w:tplc="0809000F" w:tentative="1">
      <w:start w:val="1"/>
      <w:numFmt w:val="decimal"/>
      <w:lvlText w:val="%4."/>
      <w:lvlJc w:val="left"/>
      <w:pPr>
        <w:tabs>
          <w:tab w:val="num" w:pos="2763"/>
        </w:tabs>
        <w:ind w:left="2763" w:hanging="360"/>
      </w:pPr>
      <w:rPr>
        <w:rFonts w:cs="Times New Roman"/>
      </w:rPr>
    </w:lvl>
    <w:lvl w:ilvl="4" w:tplc="08090019" w:tentative="1">
      <w:start w:val="1"/>
      <w:numFmt w:val="lowerLetter"/>
      <w:lvlText w:val="%5."/>
      <w:lvlJc w:val="left"/>
      <w:pPr>
        <w:tabs>
          <w:tab w:val="num" w:pos="3483"/>
        </w:tabs>
        <w:ind w:left="3483" w:hanging="360"/>
      </w:pPr>
      <w:rPr>
        <w:rFonts w:cs="Times New Roman"/>
      </w:rPr>
    </w:lvl>
    <w:lvl w:ilvl="5" w:tplc="0809001B" w:tentative="1">
      <w:start w:val="1"/>
      <w:numFmt w:val="lowerRoman"/>
      <w:lvlText w:val="%6."/>
      <w:lvlJc w:val="right"/>
      <w:pPr>
        <w:tabs>
          <w:tab w:val="num" w:pos="4203"/>
        </w:tabs>
        <w:ind w:left="4203" w:hanging="180"/>
      </w:pPr>
      <w:rPr>
        <w:rFonts w:cs="Times New Roman"/>
      </w:rPr>
    </w:lvl>
    <w:lvl w:ilvl="6" w:tplc="0809000F" w:tentative="1">
      <w:start w:val="1"/>
      <w:numFmt w:val="decimal"/>
      <w:lvlText w:val="%7."/>
      <w:lvlJc w:val="left"/>
      <w:pPr>
        <w:tabs>
          <w:tab w:val="num" w:pos="4923"/>
        </w:tabs>
        <w:ind w:left="4923" w:hanging="360"/>
      </w:pPr>
      <w:rPr>
        <w:rFonts w:cs="Times New Roman"/>
      </w:rPr>
    </w:lvl>
    <w:lvl w:ilvl="7" w:tplc="08090019" w:tentative="1">
      <w:start w:val="1"/>
      <w:numFmt w:val="lowerLetter"/>
      <w:lvlText w:val="%8."/>
      <w:lvlJc w:val="left"/>
      <w:pPr>
        <w:tabs>
          <w:tab w:val="num" w:pos="5643"/>
        </w:tabs>
        <w:ind w:left="5643" w:hanging="360"/>
      </w:pPr>
      <w:rPr>
        <w:rFonts w:cs="Times New Roman"/>
      </w:rPr>
    </w:lvl>
    <w:lvl w:ilvl="8" w:tplc="0809001B" w:tentative="1">
      <w:start w:val="1"/>
      <w:numFmt w:val="lowerRoman"/>
      <w:lvlText w:val="%9."/>
      <w:lvlJc w:val="right"/>
      <w:pPr>
        <w:tabs>
          <w:tab w:val="num" w:pos="6363"/>
        </w:tabs>
        <w:ind w:left="6363" w:hanging="180"/>
      </w:pPr>
      <w:rPr>
        <w:rFonts w:cs="Times New Roman"/>
      </w:rPr>
    </w:lvl>
  </w:abstractNum>
  <w:abstractNum w:abstractNumId="25" w15:restartNumberingAfterBreak="0">
    <w:nsid w:val="59C112A3"/>
    <w:multiLevelType w:val="hybridMultilevel"/>
    <w:tmpl w:val="D5F8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FF427C"/>
    <w:multiLevelType w:val="hybridMultilevel"/>
    <w:tmpl w:val="A0429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9827E3"/>
    <w:multiLevelType w:val="hybridMultilevel"/>
    <w:tmpl w:val="DDC0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349A0"/>
    <w:multiLevelType w:val="hybridMultilevel"/>
    <w:tmpl w:val="7C52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9D1817"/>
    <w:multiLevelType w:val="hybridMultilevel"/>
    <w:tmpl w:val="A4A49B34"/>
    <w:lvl w:ilvl="0" w:tplc="08090001">
      <w:start w:val="1"/>
      <w:numFmt w:val="bullet"/>
      <w:lvlText w:val=""/>
      <w:lvlJc w:val="left"/>
      <w:pPr>
        <w:ind w:left="427" w:hanging="360"/>
      </w:pPr>
      <w:rPr>
        <w:rFonts w:ascii="Symbol" w:hAnsi="Symbol" w:hint="default"/>
      </w:rPr>
    </w:lvl>
    <w:lvl w:ilvl="1" w:tplc="2EE8E3B6">
      <w:start w:val="1"/>
      <w:numFmt w:val="bullet"/>
      <w:lvlText w:val=""/>
      <w:lvlJc w:val="left"/>
      <w:pPr>
        <w:tabs>
          <w:tab w:val="num" w:pos="957"/>
        </w:tabs>
        <w:ind w:left="957" w:hanging="170"/>
      </w:pPr>
      <w:rPr>
        <w:rFonts w:ascii="Symbol" w:hAnsi="Symbol" w:hint="default"/>
        <w:b w:val="0"/>
        <w:i w:val="0"/>
        <w:color w:val="auto"/>
        <w:sz w:val="20"/>
      </w:rPr>
    </w:lvl>
    <w:lvl w:ilvl="2" w:tplc="08090005" w:tentative="1">
      <w:start w:val="1"/>
      <w:numFmt w:val="bullet"/>
      <w:lvlText w:val=""/>
      <w:lvlJc w:val="left"/>
      <w:pPr>
        <w:ind w:left="1867" w:hanging="360"/>
      </w:pPr>
      <w:rPr>
        <w:rFonts w:ascii="Wingdings" w:hAnsi="Wingdings" w:hint="default"/>
      </w:rPr>
    </w:lvl>
    <w:lvl w:ilvl="3" w:tplc="08090001" w:tentative="1">
      <w:start w:val="1"/>
      <w:numFmt w:val="bullet"/>
      <w:lvlText w:val=""/>
      <w:lvlJc w:val="left"/>
      <w:pPr>
        <w:ind w:left="2587" w:hanging="360"/>
      </w:pPr>
      <w:rPr>
        <w:rFonts w:ascii="Symbol" w:hAnsi="Symbol" w:hint="default"/>
      </w:rPr>
    </w:lvl>
    <w:lvl w:ilvl="4" w:tplc="08090003" w:tentative="1">
      <w:start w:val="1"/>
      <w:numFmt w:val="bullet"/>
      <w:lvlText w:val="o"/>
      <w:lvlJc w:val="left"/>
      <w:pPr>
        <w:ind w:left="3307" w:hanging="360"/>
      </w:pPr>
      <w:rPr>
        <w:rFonts w:ascii="Courier New" w:hAnsi="Courier New" w:hint="default"/>
      </w:rPr>
    </w:lvl>
    <w:lvl w:ilvl="5" w:tplc="08090005" w:tentative="1">
      <w:start w:val="1"/>
      <w:numFmt w:val="bullet"/>
      <w:lvlText w:val=""/>
      <w:lvlJc w:val="left"/>
      <w:pPr>
        <w:ind w:left="4027" w:hanging="360"/>
      </w:pPr>
      <w:rPr>
        <w:rFonts w:ascii="Wingdings" w:hAnsi="Wingdings" w:hint="default"/>
      </w:rPr>
    </w:lvl>
    <w:lvl w:ilvl="6" w:tplc="08090001" w:tentative="1">
      <w:start w:val="1"/>
      <w:numFmt w:val="bullet"/>
      <w:lvlText w:val=""/>
      <w:lvlJc w:val="left"/>
      <w:pPr>
        <w:ind w:left="4747" w:hanging="360"/>
      </w:pPr>
      <w:rPr>
        <w:rFonts w:ascii="Symbol" w:hAnsi="Symbol" w:hint="default"/>
      </w:rPr>
    </w:lvl>
    <w:lvl w:ilvl="7" w:tplc="08090003" w:tentative="1">
      <w:start w:val="1"/>
      <w:numFmt w:val="bullet"/>
      <w:lvlText w:val="o"/>
      <w:lvlJc w:val="left"/>
      <w:pPr>
        <w:ind w:left="5467" w:hanging="360"/>
      </w:pPr>
      <w:rPr>
        <w:rFonts w:ascii="Courier New" w:hAnsi="Courier New" w:hint="default"/>
      </w:rPr>
    </w:lvl>
    <w:lvl w:ilvl="8" w:tplc="08090005" w:tentative="1">
      <w:start w:val="1"/>
      <w:numFmt w:val="bullet"/>
      <w:lvlText w:val=""/>
      <w:lvlJc w:val="left"/>
      <w:pPr>
        <w:ind w:left="6187" w:hanging="360"/>
      </w:pPr>
      <w:rPr>
        <w:rFonts w:ascii="Wingdings" w:hAnsi="Wingdings" w:hint="default"/>
      </w:rPr>
    </w:lvl>
  </w:abstractNum>
  <w:abstractNum w:abstractNumId="30" w15:restartNumberingAfterBreak="0">
    <w:nsid w:val="6598380E"/>
    <w:multiLevelType w:val="hybridMultilevel"/>
    <w:tmpl w:val="4F001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60E7FD9"/>
    <w:multiLevelType w:val="hybridMultilevel"/>
    <w:tmpl w:val="F326B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5102C"/>
    <w:multiLevelType w:val="hybridMultilevel"/>
    <w:tmpl w:val="5844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492386"/>
    <w:multiLevelType w:val="hybridMultilevel"/>
    <w:tmpl w:val="F42A8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2B3D03"/>
    <w:multiLevelType w:val="hybridMultilevel"/>
    <w:tmpl w:val="C582C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3A74EE"/>
    <w:multiLevelType w:val="hybridMultilevel"/>
    <w:tmpl w:val="1FDED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4B2AAF"/>
    <w:multiLevelType w:val="hybridMultilevel"/>
    <w:tmpl w:val="67C8F872"/>
    <w:lvl w:ilvl="0" w:tplc="08090001">
      <w:start w:val="1"/>
      <w:numFmt w:val="bullet"/>
      <w:lvlText w:val=""/>
      <w:lvlJc w:val="left"/>
      <w:pPr>
        <w:ind w:left="67" w:hanging="360"/>
      </w:pPr>
      <w:rPr>
        <w:rFonts w:ascii="Symbol" w:hAnsi="Symbol" w:hint="default"/>
      </w:rPr>
    </w:lvl>
    <w:lvl w:ilvl="1" w:tplc="08090003" w:tentative="1">
      <w:start w:val="1"/>
      <w:numFmt w:val="bullet"/>
      <w:lvlText w:val="o"/>
      <w:lvlJc w:val="left"/>
      <w:pPr>
        <w:ind w:left="787" w:hanging="360"/>
      </w:pPr>
      <w:rPr>
        <w:rFonts w:ascii="Courier New" w:hAnsi="Courier New" w:hint="default"/>
      </w:rPr>
    </w:lvl>
    <w:lvl w:ilvl="2" w:tplc="08090005" w:tentative="1">
      <w:start w:val="1"/>
      <w:numFmt w:val="bullet"/>
      <w:lvlText w:val=""/>
      <w:lvlJc w:val="left"/>
      <w:pPr>
        <w:ind w:left="1507" w:hanging="360"/>
      </w:pPr>
      <w:rPr>
        <w:rFonts w:ascii="Wingdings" w:hAnsi="Wingdings" w:hint="default"/>
      </w:rPr>
    </w:lvl>
    <w:lvl w:ilvl="3" w:tplc="08090001" w:tentative="1">
      <w:start w:val="1"/>
      <w:numFmt w:val="bullet"/>
      <w:lvlText w:val=""/>
      <w:lvlJc w:val="left"/>
      <w:pPr>
        <w:ind w:left="2227" w:hanging="360"/>
      </w:pPr>
      <w:rPr>
        <w:rFonts w:ascii="Symbol" w:hAnsi="Symbol" w:hint="default"/>
      </w:rPr>
    </w:lvl>
    <w:lvl w:ilvl="4" w:tplc="08090003" w:tentative="1">
      <w:start w:val="1"/>
      <w:numFmt w:val="bullet"/>
      <w:lvlText w:val="o"/>
      <w:lvlJc w:val="left"/>
      <w:pPr>
        <w:ind w:left="2947" w:hanging="360"/>
      </w:pPr>
      <w:rPr>
        <w:rFonts w:ascii="Courier New" w:hAnsi="Courier New" w:hint="default"/>
      </w:rPr>
    </w:lvl>
    <w:lvl w:ilvl="5" w:tplc="08090005" w:tentative="1">
      <w:start w:val="1"/>
      <w:numFmt w:val="bullet"/>
      <w:lvlText w:val=""/>
      <w:lvlJc w:val="left"/>
      <w:pPr>
        <w:ind w:left="3667" w:hanging="360"/>
      </w:pPr>
      <w:rPr>
        <w:rFonts w:ascii="Wingdings" w:hAnsi="Wingdings" w:hint="default"/>
      </w:rPr>
    </w:lvl>
    <w:lvl w:ilvl="6" w:tplc="08090001" w:tentative="1">
      <w:start w:val="1"/>
      <w:numFmt w:val="bullet"/>
      <w:lvlText w:val=""/>
      <w:lvlJc w:val="left"/>
      <w:pPr>
        <w:ind w:left="4387" w:hanging="360"/>
      </w:pPr>
      <w:rPr>
        <w:rFonts w:ascii="Symbol" w:hAnsi="Symbol" w:hint="default"/>
      </w:rPr>
    </w:lvl>
    <w:lvl w:ilvl="7" w:tplc="08090003" w:tentative="1">
      <w:start w:val="1"/>
      <w:numFmt w:val="bullet"/>
      <w:lvlText w:val="o"/>
      <w:lvlJc w:val="left"/>
      <w:pPr>
        <w:ind w:left="5107" w:hanging="360"/>
      </w:pPr>
      <w:rPr>
        <w:rFonts w:ascii="Courier New" w:hAnsi="Courier New" w:hint="default"/>
      </w:rPr>
    </w:lvl>
    <w:lvl w:ilvl="8" w:tplc="08090005" w:tentative="1">
      <w:start w:val="1"/>
      <w:numFmt w:val="bullet"/>
      <w:lvlText w:val=""/>
      <w:lvlJc w:val="left"/>
      <w:pPr>
        <w:ind w:left="5827" w:hanging="360"/>
      </w:pPr>
      <w:rPr>
        <w:rFonts w:ascii="Wingdings" w:hAnsi="Wingdings" w:hint="default"/>
      </w:rPr>
    </w:lvl>
  </w:abstractNum>
  <w:abstractNum w:abstractNumId="37" w15:restartNumberingAfterBreak="0">
    <w:nsid w:val="7AE43D42"/>
    <w:multiLevelType w:val="hybridMultilevel"/>
    <w:tmpl w:val="B2FE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A4C90"/>
    <w:multiLevelType w:val="hybridMultilevel"/>
    <w:tmpl w:val="20081E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87028"/>
    <w:multiLevelType w:val="hybridMultilevel"/>
    <w:tmpl w:val="0CAEB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32"/>
  </w:num>
  <w:num w:numId="4">
    <w:abstractNumId w:val="1"/>
  </w:num>
  <w:num w:numId="5">
    <w:abstractNumId w:val="10"/>
  </w:num>
  <w:num w:numId="6">
    <w:abstractNumId w:val="17"/>
  </w:num>
  <w:num w:numId="7">
    <w:abstractNumId w:val="16"/>
  </w:num>
  <w:num w:numId="8">
    <w:abstractNumId w:val="36"/>
  </w:num>
  <w:num w:numId="9">
    <w:abstractNumId w:val="29"/>
  </w:num>
  <w:num w:numId="10">
    <w:abstractNumId w:val="24"/>
  </w:num>
  <w:num w:numId="11">
    <w:abstractNumId w:val="22"/>
  </w:num>
  <w:num w:numId="12">
    <w:abstractNumId w:val="4"/>
  </w:num>
  <w:num w:numId="13">
    <w:abstractNumId w:val="15"/>
  </w:num>
  <w:num w:numId="14">
    <w:abstractNumId w:val="30"/>
  </w:num>
  <w:num w:numId="15">
    <w:abstractNumId w:val="35"/>
  </w:num>
  <w:num w:numId="16">
    <w:abstractNumId w:val="37"/>
  </w:num>
  <w:num w:numId="17">
    <w:abstractNumId w:val="2"/>
  </w:num>
  <w:num w:numId="18">
    <w:abstractNumId w:val="21"/>
  </w:num>
  <w:num w:numId="19">
    <w:abstractNumId w:val="28"/>
  </w:num>
  <w:num w:numId="20">
    <w:abstractNumId w:val="9"/>
  </w:num>
  <w:num w:numId="21">
    <w:abstractNumId w:val="19"/>
  </w:num>
  <w:num w:numId="22">
    <w:abstractNumId w:val="39"/>
  </w:num>
  <w:num w:numId="23">
    <w:abstractNumId w:val="33"/>
  </w:num>
  <w:num w:numId="24">
    <w:abstractNumId w:val="0"/>
  </w:num>
  <w:num w:numId="25">
    <w:abstractNumId w:val="27"/>
  </w:num>
  <w:num w:numId="26">
    <w:abstractNumId w:val="23"/>
  </w:num>
  <w:num w:numId="27">
    <w:abstractNumId w:val="34"/>
  </w:num>
  <w:num w:numId="28">
    <w:abstractNumId w:val="12"/>
  </w:num>
  <w:num w:numId="29">
    <w:abstractNumId w:val="26"/>
  </w:num>
  <w:num w:numId="30">
    <w:abstractNumId w:val="11"/>
  </w:num>
  <w:num w:numId="31">
    <w:abstractNumId w:val="5"/>
  </w:num>
  <w:num w:numId="32">
    <w:abstractNumId w:val="3"/>
  </w:num>
  <w:num w:numId="33">
    <w:abstractNumId w:val="6"/>
  </w:num>
  <w:num w:numId="34">
    <w:abstractNumId w:val="25"/>
  </w:num>
  <w:num w:numId="35">
    <w:abstractNumId w:val="31"/>
  </w:num>
  <w:num w:numId="36">
    <w:abstractNumId w:val="7"/>
  </w:num>
  <w:num w:numId="37">
    <w:abstractNumId w:val="13"/>
  </w:num>
  <w:num w:numId="38">
    <w:abstractNumId w:val="8"/>
  </w:num>
  <w:num w:numId="39">
    <w:abstractNumId w:val="38"/>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55"/>
    <w:rsid w:val="000009B6"/>
    <w:rsid w:val="0000403E"/>
    <w:rsid w:val="00012FF6"/>
    <w:rsid w:val="000227BE"/>
    <w:rsid w:val="000235B3"/>
    <w:rsid w:val="00026B9A"/>
    <w:rsid w:val="00027988"/>
    <w:rsid w:val="00035A95"/>
    <w:rsid w:val="00040984"/>
    <w:rsid w:val="00043866"/>
    <w:rsid w:val="00046D32"/>
    <w:rsid w:val="000514C1"/>
    <w:rsid w:val="0005465A"/>
    <w:rsid w:val="00056DF4"/>
    <w:rsid w:val="00062A19"/>
    <w:rsid w:val="000648E1"/>
    <w:rsid w:val="000A164E"/>
    <w:rsid w:val="000B2907"/>
    <w:rsid w:val="000B4E5C"/>
    <w:rsid w:val="000C0A5F"/>
    <w:rsid w:val="000C3C2E"/>
    <w:rsid w:val="000C6E9C"/>
    <w:rsid w:val="000C6F2C"/>
    <w:rsid w:val="000D4CFB"/>
    <w:rsid w:val="000F5449"/>
    <w:rsid w:val="000F560C"/>
    <w:rsid w:val="00100B58"/>
    <w:rsid w:val="001179D6"/>
    <w:rsid w:val="00121895"/>
    <w:rsid w:val="001235C7"/>
    <w:rsid w:val="00130D78"/>
    <w:rsid w:val="0013618E"/>
    <w:rsid w:val="0014090B"/>
    <w:rsid w:val="001446C9"/>
    <w:rsid w:val="0014591B"/>
    <w:rsid w:val="001471F0"/>
    <w:rsid w:val="00156C3D"/>
    <w:rsid w:val="00173E9E"/>
    <w:rsid w:val="0019223E"/>
    <w:rsid w:val="001A0C38"/>
    <w:rsid w:val="001A6FD8"/>
    <w:rsid w:val="001B4257"/>
    <w:rsid w:val="001C4EE5"/>
    <w:rsid w:val="001C6AA0"/>
    <w:rsid w:val="001E4ECC"/>
    <w:rsid w:val="001F711C"/>
    <w:rsid w:val="00200111"/>
    <w:rsid w:val="00205C25"/>
    <w:rsid w:val="00222418"/>
    <w:rsid w:val="00226EE2"/>
    <w:rsid w:val="0023369A"/>
    <w:rsid w:val="00236D06"/>
    <w:rsid w:val="00243E26"/>
    <w:rsid w:val="00246B0B"/>
    <w:rsid w:val="00262ECA"/>
    <w:rsid w:val="00282452"/>
    <w:rsid w:val="002861EA"/>
    <w:rsid w:val="00287955"/>
    <w:rsid w:val="0029118D"/>
    <w:rsid w:val="00292FF6"/>
    <w:rsid w:val="002A29DA"/>
    <w:rsid w:val="002D39BB"/>
    <w:rsid w:val="002D3FD5"/>
    <w:rsid w:val="002F2DAB"/>
    <w:rsid w:val="00302245"/>
    <w:rsid w:val="003201D3"/>
    <w:rsid w:val="0032044B"/>
    <w:rsid w:val="0034668A"/>
    <w:rsid w:val="0035269C"/>
    <w:rsid w:val="003571E2"/>
    <w:rsid w:val="00357C9D"/>
    <w:rsid w:val="00357FC6"/>
    <w:rsid w:val="00373F19"/>
    <w:rsid w:val="0037403C"/>
    <w:rsid w:val="00384FBE"/>
    <w:rsid w:val="00390736"/>
    <w:rsid w:val="00396770"/>
    <w:rsid w:val="003A04EB"/>
    <w:rsid w:val="003A40B6"/>
    <w:rsid w:val="003B78E9"/>
    <w:rsid w:val="003D7D90"/>
    <w:rsid w:val="003E6FE7"/>
    <w:rsid w:val="004121F7"/>
    <w:rsid w:val="00417941"/>
    <w:rsid w:val="00443C6B"/>
    <w:rsid w:val="0046387A"/>
    <w:rsid w:val="00465A7F"/>
    <w:rsid w:val="00466308"/>
    <w:rsid w:val="004803CF"/>
    <w:rsid w:val="00483B90"/>
    <w:rsid w:val="00492365"/>
    <w:rsid w:val="00497396"/>
    <w:rsid w:val="004C3A32"/>
    <w:rsid w:val="004C5127"/>
    <w:rsid w:val="004D52D5"/>
    <w:rsid w:val="004D5C28"/>
    <w:rsid w:val="004E3F03"/>
    <w:rsid w:val="004E719B"/>
    <w:rsid w:val="004F496A"/>
    <w:rsid w:val="004F4F6A"/>
    <w:rsid w:val="004F730E"/>
    <w:rsid w:val="00500EB7"/>
    <w:rsid w:val="00521CFC"/>
    <w:rsid w:val="00523C5C"/>
    <w:rsid w:val="00525D35"/>
    <w:rsid w:val="0054322A"/>
    <w:rsid w:val="00543E2A"/>
    <w:rsid w:val="00560879"/>
    <w:rsid w:val="00582B70"/>
    <w:rsid w:val="00590C0E"/>
    <w:rsid w:val="0059228E"/>
    <w:rsid w:val="005A3DAA"/>
    <w:rsid w:val="005B2E9D"/>
    <w:rsid w:val="005B3546"/>
    <w:rsid w:val="005C2406"/>
    <w:rsid w:val="005D093F"/>
    <w:rsid w:val="005F1489"/>
    <w:rsid w:val="005F6906"/>
    <w:rsid w:val="005F6A51"/>
    <w:rsid w:val="006122EC"/>
    <w:rsid w:val="006125F1"/>
    <w:rsid w:val="00622984"/>
    <w:rsid w:val="00622CFA"/>
    <w:rsid w:val="00631105"/>
    <w:rsid w:val="0063367A"/>
    <w:rsid w:val="006345EB"/>
    <w:rsid w:val="006640E1"/>
    <w:rsid w:val="006677C6"/>
    <w:rsid w:val="00670C98"/>
    <w:rsid w:val="00675B59"/>
    <w:rsid w:val="00692D0A"/>
    <w:rsid w:val="006A71BE"/>
    <w:rsid w:val="006C72BB"/>
    <w:rsid w:val="006C793C"/>
    <w:rsid w:val="006D406E"/>
    <w:rsid w:val="006E2C94"/>
    <w:rsid w:val="006E4685"/>
    <w:rsid w:val="006F73CA"/>
    <w:rsid w:val="00707AD8"/>
    <w:rsid w:val="00723F34"/>
    <w:rsid w:val="0073091E"/>
    <w:rsid w:val="00737BC4"/>
    <w:rsid w:val="00741500"/>
    <w:rsid w:val="00753E54"/>
    <w:rsid w:val="00765055"/>
    <w:rsid w:val="007705C4"/>
    <w:rsid w:val="007734ED"/>
    <w:rsid w:val="007868F2"/>
    <w:rsid w:val="007931ED"/>
    <w:rsid w:val="007B7FF9"/>
    <w:rsid w:val="007C5C67"/>
    <w:rsid w:val="007D3A7C"/>
    <w:rsid w:val="007E1A99"/>
    <w:rsid w:val="007E2BF1"/>
    <w:rsid w:val="007E518C"/>
    <w:rsid w:val="007F00C8"/>
    <w:rsid w:val="0080036E"/>
    <w:rsid w:val="00801A16"/>
    <w:rsid w:val="00802E41"/>
    <w:rsid w:val="00805028"/>
    <w:rsid w:val="00842B62"/>
    <w:rsid w:val="00847A88"/>
    <w:rsid w:val="00853697"/>
    <w:rsid w:val="00860A65"/>
    <w:rsid w:val="00861018"/>
    <w:rsid w:val="008612F1"/>
    <w:rsid w:val="00862B5E"/>
    <w:rsid w:val="00864F47"/>
    <w:rsid w:val="00877021"/>
    <w:rsid w:val="008969DF"/>
    <w:rsid w:val="008A38D7"/>
    <w:rsid w:val="008A6256"/>
    <w:rsid w:val="008A6CF6"/>
    <w:rsid w:val="008A7936"/>
    <w:rsid w:val="008B26D7"/>
    <w:rsid w:val="008B4314"/>
    <w:rsid w:val="008C357D"/>
    <w:rsid w:val="008C6747"/>
    <w:rsid w:val="008C7144"/>
    <w:rsid w:val="008D15F3"/>
    <w:rsid w:val="008F1596"/>
    <w:rsid w:val="008F62AF"/>
    <w:rsid w:val="009109AC"/>
    <w:rsid w:val="00914DE8"/>
    <w:rsid w:val="00916034"/>
    <w:rsid w:val="009204E6"/>
    <w:rsid w:val="00922BCD"/>
    <w:rsid w:val="009250EA"/>
    <w:rsid w:val="00933DF0"/>
    <w:rsid w:val="009354BE"/>
    <w:rsid w:val="00935CB2"/>
    <w:rsid w:val="00941CE9"/>
    <w:rsid w:val="00943BEA"/>
    <w:rsid w:val="009561EE"/>
    <w:rsid w:val="00963D8E"/>
    <w:rsid w:val="00965245"/>
    <w:rsid w:val="00983378"/>
    <w:rsid w:val="009862FB"/>
    <w:rsid w:val="009B407A"/>
    <w:rsid w:val="009B4BE3"/>
    <w:rsid w:val="009B7089"/>
    <w:rsid w:val="009C0B9D"/>
    <w:rsid w:val="009C5400"/>
    <w:rsid w:val="009C6B22"/>
    <w:rsid w:val="009C7569"/>
    <w:rsid w:val="009C7927"/>
    <w:rsid w:val="009D1BC0"/>
    <w:rsid w:val="009E296D"/>
    <w:rsid w:val="009F1BF5"/>
    <w:rsid w:val="009F52C5"/>
    <w:rsid w:val="009F7330"/>
    <w:rsid w:val="00A00ECE"/>
    <w:rsid w:val="00A062C2"/>
    <w:rsid w:val="00A07C10"/>
    <w:rsid w:val="00A14AC9"/>
    <w:rsid w:val="00A242E9"/>
    <w:rsid w:val="00A25830"/>
    <w:rsid w:val="00A441C2"/>
    <w:rsid w:val="00A46EC6"/>
    <w:rsid w:val="00A548CB"/>
    <w:rsid w:val="00A64E19"/>
    <w:rsid w:val="00A740BD"/>
    <w:rsid w:val="00A84E6B"/>
    <w:rsid w:val="00A918D2"/>
    <w:rsid w:val="00AA15D0"/>
    <w:rsid w:val="00AA455E"/>
    <w:rsid w:val="00AB3016"/>
    <w:rsid w:val="00AB3A6C"/>
    <w:rsid w:val="00AB64E2"/>
    <w:rsid w:val="00AC025A"/>
    <w:rsid w:val="00AC2410"/>
    <w:rsid w:val="00AD10BA"/>
    <w:rsid w:val="00AE6249"/>
    <w:rsid w:val="00AE641A"/>
    <w:rsid w:val="00AF08F1"/>
    <w:rsid w:val="00AF6971"/>
    <w:rsid w:val="00B03ECA"/>
    <w:rsid w:val="00B03F84"/>
    <w:rsid w:val="00B12657"/>
    <w:rsid w:val="00B12B9C"/>
    <w:rsid w:val="00B131CF"/>
    <w:rsid w:val="00B21917"/>
    <w:rsid w:val="00B2212C"/>
    <w:rsid w:val="00B30D2B"/>
    <w:rsid w:val="00B33EDE"/>
    <w:rsid w:val="00B34ECC"/>
    <w:rsid w:val="00B36460"/>
    <w:rsid w:val="00B42F4B"/>
    <w:rsid w:val="00B51E73"/>
    <w:rsid w:val="00B5310C"/>
    <w:rsid w:val="00B626E3"/>
    <w:rsid w:val="00B6528B"/>
    <w:rsid w:val="00B67DD6"/>
    <w:rsid w:val="00B70925"/>
    <w:rsid w:val="00B73F7D"/>
    <w:rsid w:val="00B74A8F"/>
    <w:rsid w:val="00B82D4E"/>
    <w:rsid w:val="00B87BBA"/>
    <w:rsid w:val="00B9050D"/>
    <w:rsid w:val="00B979F7"/>
    <w:rsid w:val="00BA4EC4"/>
    <w:rsid w:val="00BB15F2"/>
    <w:rsid w:val="00BC7577"/>
    <w:rsid w:val="00BD055F"/>
    <w:rsid w:val="00BE5988"/>
    <w:rsid w:val="00BF5D38"/>
    <w:rsid w:val="00BF6395"/>
    <w:rsid w:val="00BF78DA"/>
    <w:rsid w:val="00C16B6E"/>
    <w:rsid w:val="00C2185F"/>
    <w:rsid w:val="00C24758"/>
    <w:rsid w:val="00C260FC"/>
    <w:rsid w:val="00C31E35"/>
    <w:rsid w:val="00C32DC2"/>
    <w:rsid w:val="00C34BCD"/>
    <w:rsid w:val="00C46ACC"/>
    <w:rsid w:val="00C544BE"/>
    <w:rsid w:val="00C63BC3"/>
    <w:rsid w:val="00C716FF"/>
    <w:rsid w:val="00C76314"/>
    <w:rsid w:val="00C81326"/>
    <w:rsid w:val="00C8423E"/>
    <w:rsid w:val="00C842C9"/>
    <w:rsid w:val="00C85729"/>
    <w:rsid w:val="00C867E9"/>
    <w:rsid w:val="00C92674"/>
    <w:rsid w:val="00C95075"/>
    <w:rsid w:val="00CA04D3"/>
    <w:rsid w:val="00CA0EFA"/>
    <w:rsid w:val="00CB3F9F"/>
    <w:rsid w:val="00CC702D"/>
    <w:rsid w:val="00CD46D7"/>
    <w:rsid w:val="00CF409D"/>
    <w:rsid w:val="00CF7165"/>
    <w:rsid w:val="00D00552"/>
    <w:rsid w:val="00D01A07"/>
    <w:rsid w:val="00D17632"/>
    <w:rsid w:val="00D25A83"/>
    <w:rsid w:val="00D30A4D"/>
    <w:rsid w:val="00D36D22"/>
    <w:rsid w:val="00D51E93"/>
    <w:rsid w:val="00D808C7"/>
    <w:rsid w:val="00D8594B"/>
    <w:rsid w:val="00D859FC"/>
    <w:rsid w:val="00D8680D"/>
    <w:rsid w:val="00D87037"/>
    <w:rsid w:val="00DA2537"/>
    <w:rsid w:val="00DA4886"/>
    <w:rsid w:val="00DB3741"/>
    <w:rsid w:val="00DB66A4"/>
    <w:rsid w:val="00DB6CAE"/>
    <w:rsid w:val="00DD1CF7"/>
    <w:rsid w:val="00DD3536"/>
    <w:rsid w:val="00DE26C9"/>
    <w:rsid w:val="00DF4F91"/>
    <w:rsid w:val="00DF738D"/>
    <w:rsid w:val="00E11EA3"/>
    <w:rsid w:val="00E17891"/>
    <w:rsid w:val="00E31F89"/>
    <w:rsid w:val="00E63D79"/>
    <w:rsid w:val="00E7353A"/>
    <w:rsid w:val="00E85376"/>
    <w:rsid w:val="00E96CF0"/>
    <w:rsid w:val="00EA282A"/>
    <w:rsid w:val="00EA78D1"/>
    <w:rsid w:val="00EB0D53"/>
    <w:rsid w:val="00EB54F1"/>
    <w:rsid w:val="00EC4A4F"/>
    <w:rsid w:val="00EC7F53"/>
    <w:rsid w:val="00ED6C23"/>
    <w:rsid w:val="00EF5621"/>
    <w:rsid w:val="00F11EA4"/>
    <w:rsid w:val="00F65DD4"/>
    <w:rsid w:val="00F83E0A"/>
    <w:rsid w:val="00F93AB3"/>
    <w:rsid w:val="00FA0AFE"/>
    <w:rsid w:val="00FA526B"/>
    <w:rsid w:val="00FA5C70"/>
    <w:rsid w:val="00FB691A"/>
    <w:rsid w:val="00FD3748"/>
    <w:rsid w:val="00FE1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A0A53A6"/>
  <w15:docId w15:val="{62FE6CC7-8366-4656-9A1E-3387C180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E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3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886"/>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B03ECA"/>
    <w:pPr>
      <w:ind w:left="720"/>
      <w:contextualSpacing/>
    </w:pPr>
  </w:style>
  <w:style w:type="paragraph" w:styleId="Header">
    <w:name w:val="header"/>
    <w:basedOn w:val="Normal"/>
    <w:link w:val="HeaderChar"/>
    <w:uiPriority w:val="99"/>
    <w:rsid w:val="00BE598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E5988"/>
    <w:rPr>
      <w:rFonts w:cs="Times New Roman"/>
    </w:rPr>
  </w:style>
  <w:style w:type="paragraph" w:styleId="Footer">
    <w:name w:val="footer"/>
    <w:basedOn w:val="Normal"/>
    <w:link w:val="FooterChar"/>
    <w:uiPriority w:val="99"/>
    <w:rsid w:val="00BE598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E5988"/>
    <w:rPr>
      <w:rFonts w:cs="Times New Roman"/>
    </w:rPr>
  </w:style>
  <w:style w:type="paragraph" w:styleId="BalloonText">
    <w:name w:val="Balloon Text"/>
    <w:basedOn w:val="Normal"/>
    <w:link w:val="BalloonTextChar"/>
    <w:uiPriority w:val="99"/>
    <w:semiHidden/>
    <w:rsid w:val="002336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716FF"/>
    <w:rPr>
      <w:rFonts w:ascii="Times New Roman" w:hAnsi="Times New Roman" w:cs="Times New Roman"/>
      <w:sz w:val="2"/>
      <w:lang w:eastAsia="en-US"/>
    </w:rPr>
  </w:style>
  <w:style w:type="character" w:styleId="CommentReference">
    <w:name w:val="annotation reference"/>
    <w:basedOn w:val="DefaultParagraphFont"/>
    <w:uiPriority w:val="99"/>
    <w:semiHidden/>
    <w:rsid w:val="008F1596"/>
    <w:rPr>
      <w:rFonts w:cs="Times New Roman"/>
      <w:sz w:val="16"/>
      <w:szCs w:val="16"/>
    </w:rPr>
  </w:style>
  <w:style w:type="paragraph" w:styleId="CommentText">
    <w:name w:val="annotation text"/>
    <w:basedOn w:val="Normal"/>
    <w:link w:val="CommentTextChar"/>
    <w:uiPriority w:val="99"/>
    <w:semiHidden/>
    <w:rsid w:val="008F1596"/>
    <w:rPr>
      <w:sz w:val="20"/>
      <w:szCs w:val="20"/>
    </w:rPr>
  </w:style>
  <w:style w:type="character" w:customStyle="1" w:styleId="CommentTextChar">
    <w:name w:val="Comment Text Char"/>
    <w:basedOn w:val="DefaultParagraphFont"/>
    <w:link w:val="CommentText"/>
    <w:uiPriority w:val="99"/>
    <w:semiHidden/>
    <w:locked/>
    <w:rsid w:val="008F1596"/>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8F1596"/>
    <w:rPr>
      <w:b/>
      <w:bCs/>
    </w:rPr>
  </w:style>
  <w:style w:type="character" w:customStyle="1" w:styleId="CommentSubjectChar">
    <w:name w:val="Comment Subject Char"/>
    <w:basedOn w:val="CommentTextChar"/>
    <w:link w:val="CommentSubject"/>
    <w:uiPriority w:val="99"/>
    <w:semiHidden/>
    <w:locked/>
    <w:rsid w:val="008F1596"/>
    <w:rPr>
      <w:rFonts w:cs="Times New Roman"/>
      <w:b/>
      <w:bCs/>
      <w:sz w:val="20"/>
      <w:szCs w:val="20"/>
      <w:lang w:eastAsia="en-US"/>
    </w:rPr>
  </w:style>
  <w:style w:type="character" w:styleId="PageNumber">
    <w:name w:val="page number"/>
    <w:basedOn w:val="DefaultParagraphFont"/>
    <w:uiPriority w:val="99"/>
    <w:rsid w:val="00292FF6"/>
    <w:rPr>
      <w:rFonts w:cs="Times New Roman"/>
    </w:rPr>
  </w:style>
  <w:style w:type="paragraph" w:styleId="BodyText">
    <w:name w:val="Body Text"/>
    <w:basedOn w:val="Normal"/>
    <w:link w:val="BodyTextChar"/>
    <w:uiPriority w:val="1"/>
    <w:qFormat/>
    <w:rsid w:val="007F00C8"/>
    <w:pPr>
      <w:widowControl w:val="0"/>
      <w:spacing w:after="0" w:line="240" w:lineRule="auto"/>
      <w:ind w:left="460" w:hanging="36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7F00C8"/>
    <w:rPr>
      <w:rFonts w:ascii="Times New Roman" w:eastAsia="Times New Roman" w:hAnsi="Times New Roman" w:cstheme="minorBidi"/>
      <w:sz w:val="24"/>
      <w:szCs w:val="24"/>
      <w:lang w:val="en-US" w:eastAsia="en-US"/>
    </w:rPr>
  </w:style>
  <w:style w:type="paragraph" w:styleId="NoSpacing">
    <w:name w:val="No Spacing"/>
    <w:link w:val="NoSpacingChar"/>
    <w:uiPriority w:val="1"/>
    <w:qFormat/>
    <w:rsid w:val="00B12B9C"/>
    <w:rPr>
      <w:lang w:eastAsia="en-US"/>
    </w:rPr>
  </w:style>
  <w:style w:type="character" w:customStyle="1" w:styleId="NoSpacingChar">
    <w:name w:val="No Spacing Char"/>
    <w:link w:val="NoSpacing"/>
    <w:uiPriority w:val="1"/>
    <w:rsid w:val="00B12B9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crutiny Report" ma:contentTypeID="0x01010099EE1F3EE40D4A0DB59DAABE24F1EF3200C3CE9501BE268C4FBC266829F932CA25" ma:contentTypeVersion="0" ma:contentTypeDescription="Scrutiny Report" ma:contentTypeScope="" ma:versionID="254562eb9e85109dd61ccef718488741">
  <xsd:schema xmlns:xsd="http://www.w3.org/2001/XMLSchema" xmlns:xs="http://www.w3.org/2001/XMLSchema" xmlns:p="http://schemas.microsoft.com/office/2006/metadata/properties" xmlns:ns2="CF7DF5F6-683E-42D8-8A8E-E460DC77798C" targetNamespace="http://schemas.microsoft.com/office/2006/metadata/properties" ma:root="true" ma:fieldsID="93f09e28cf2f965d38dc3d330cc95883" ns2:_="">
    <xsd:import namespace="CF7DF5F6-683E-42D8-8A8E-E460DC77798C"/>
    <xsd:element name="properties">
      <xsd:complexType>
        <xsd:sequence>
          <xsd:element name="documentManagement">
            <xsd:complexType>
              <xsd:all>
                <xsd:element ref="ns2:Assembly_ScrutinyReportReference" minOccurs="0"/>
                <xsd:element ref="ns2:Assembly_ScrutinyDocumentType"/>
                <xsd:element ref="ns2:Assembly_ScrutinyPanel"/>
                <xsd:element ref="ns2:Assembly_ScrutinyReportDate"/>
                <xsd:element ref="ns2:Assembly_ScrutinyReportPublishDate" minOccurs="0"/>
                <xsd:element ref="ns2:Assembly_PAC" minOccurs="0"/>
                <xsd:element ref="ns2:Assembly_Keywords" minOccurs="0"/>
                <xsd:element ref="ns2:Assembly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DF5F6-683E-42D8-8A8E-E460DC77798C" elementFormDefault="qualified">
    <xsd:import namespace="http://schemas.microsoft.com/office/2006/documentManagement/types"/>
    <xsd:import namespace="http://schemas.microsoft.com/office/infopath/2007/PartnerControls"/>
    <xsd:element name="Assembly_ScrutinyReportReference" ma:index="8" nillable="true" ma:displayName="Scrutiny Report Reference" ma:description="" ma:internalName="Assembly_ScrutinyReportReference">
      <xsd:simpleType>
        <xsd:restriction base="dms:Text"/>
      </xsd:simpleType>
    </xsd:element>
    <xsd:element name="Assembly_ScrutinyDocumentType" ma:index="9" ma:displayName="Scrutiny Document Type" ma:default="Report" ma:description="" ma:format="Dropdown" ma:internalName="Assembly_ScrutinyDocumentType">
      <xsd:simpleType>
        <xsd:restriction base="dms:Choice">
          <xsd:enumeration value="Amendment"/>
          <xsd:enumeration value="Comment"/>
          <xsd:enumeration value="Letter"/>
          <xsd:enumeration value="Ministerial response"/>
          <xsd:enumeration value="Newsletter"/>
          <xsd:enumeration value="Report"/>
          <xsd:enumeration value="Statement"/>
        </xsd:restriction>
      </xsd:simpleType>
    </xsd:element>
    <xsd:element name="Assembly_ScrutinyPanel" ma:index="10" ma:displayName="Scrutiny Panel" ma:description="" ma:list="{8cdb3273-b617-48e9-b0d3-89c34449f6d4}" ma:internalName="Assembly_ScrutinyPanel" ma:showField="Title" ma:web="c2b9f22d-708a-48a2-a0e4-524e0c04e7ac">
      <xsd:simpleType>
        <xsd:restriction base="dms:Lookup"/>
      </xsd:simpleType>
    </xsd:element>
    <xsd:element name="Assembly_ScrutinyReportDate" ma:index="11" ma:displayName="Scrutiny Report Date" ma:description="" ma:format="DateOnly" ma:internalName="Assembly_ScrutinyReportDate">
      <xsd:simpleType>
        <xsd:restriction base="dms:DateTime"/>
      </xsd:simpleType>
    </xsd:element>
    <xsd:element name="Assembly_ScrutinyReportPublishDate" ma:index="12" nillable="true" ma:displayName="Scrutiny Report Publish Date" ma:default="1990-01-01" ma:description="" ma:internalName="Assembly_ScrutinyReportPublishDate">
      <xsd:simpleType>
        <xsd:restriction base="dms:DateTime"/>
      </xsd:simpleType>
    </xsd:element>
    <xsd:element name="Assembly_PAC" ma:index="13" nillable="true" ma:displayName="PAC" ma:description="" ma:internalName="Assembly_PAC">
      <xsd:simpleType>
        <xsd:restriction base="dms:Boolean"/>
      </xsd:simpleType>
    </xsd:element>
    <xsd:element name="Assembly_Keywords" ma:index="14" nillable="true" ma:displayName="Keywords" ma:description="Separate words and phrases with semicolons" ma:internalName="Assembly_Keywords">
      <xsd:simpleType>
        <xsd:restriction base="dms:Note">
          <xsd:maxLength value="255"/>
        </xsd:restriction>
      </xsd:simpleType>
    </xsd:element>
    <xsd:element name="Assembly_Description" ma:index="15" nillable="true" ma:displayName="Description" ma:description="" ma:internalName="Assembly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ssembly_ScrutinyReportDate xmlns="CF7DF5F6-683E-42D8-8A8E-E460DC77798C">2018-04-18T23:00:00+00:00</Assembly_ScrutinyReportDate>
    <Assembly_ScrutinyReportReference xmlns="CF7DF5F6-683E-42D8-8A8E-E460DC77798C">SR201800001020|P.A.C.1/2018</Assembly_ScrutinyReportReference>
    <Assembly_Keywords xmlns="CF7DF5F6-683E-42D8-8A8E-E460DC77798C" xsi:nil="true"/>
    <Assembly_ScrutinyPanel xmlns="CF7DF5F6-683E-42D8-8A8E-E460DC77798C">4</Assembly_ScrutinyPanel>
    <Assembly_Description xmlns="CF7DF5F6-683E-42D8-8A8E-E460DC77798C">Executive Response to PAC Report on EGov follow up</Assembly_Description>
    <Assembly_ScrutinyReportPublishDate xmlns="CF7DF5F6-683E-42D8-8A8E-E460DC77798C">2018-03-14T00:00:00+00:00</Assembly_ScrutinyReportPublishDate>
    <Assembly_ScrutinyDocumentType xmlns="CF7DF5F6-683E-42D8-8A8E-E460DC77798C">Report</Assembly_ScrutinyDocumentType>
    <Assembly_PAC xmlns="CF7DF5F6-683E-42D8-8A8E-E460DC77798C">true</Assembly_PAC>
  </documentManagement>
</p:properties>
</file>

<file path=customXml/itemProps1.xml><?xml version="1.0" encoding="utf-8"?>
<ds:datastoreItem xmlns:ds="http://schemas.openxmlformats.org/officeDocument/2006/customXml" ds:itemID="{EB5D0C7A-09F5-4036-9792-1DE12EADA182}">
  <ds:schemaRefs>
    <ds:schemaRef ds:uri="http://schemas.openxmlformats.org/officeDocument/2006/bibliography"/>
  </ds:schemaRefs>
</ds:datastoreItem>
</file>

<file path=customXml/itemProps2.xml><?xml version="1.0" encoding="utf-8"?>
<ds:datastoreItem xmlns:ds="http://schemas.openxmlformats.org/officeDocument/2006/customXml" ds:itemID="{408B297B-A42D-401D-8069-6A5E73716DB8}"/>
</file>

<file path=customXml/itemProps3.xml><?xml version="1.0" encoding="utf-8"?>
<ds:datastoreItem xmlns:ds="http://schemas.openxmlformats.org/officeDocument/2006/customXml" ds:itemID="{E4468981-68BA-42D0-ABB8-5015B5F7549B}"/>
</file>

<file path=customXml/itemProps4.xml><?xml version="1.0" encoding="utf-8"?>
<ds:datastoreItem xmlns:ds="http://schemas.openxmlformats.org/officeDocument/2006/customXml" ds:itemID="{A02A9E06-3E1D-49E7-BD15-170134A055F1}"/>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5269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CAG Review of Community and Social Services December 2015</vt:lpstr>
    </vt:vector>
  </TitlesOfParts>
  <Company>States Of Jersey</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Response to PAC Report on eGov follow up</dc:title>
  <dc:subject/>
  <dc:creator>Susan Devlin</dc:creator>
  <cp:keywords/>
  <dc:description/>
  <cp:lastModifiedBy>Caro Tomlinson</cp:lastModifiedBy>
  <cp:revision>2</cp:revision>
  <cp:lastPrinted>2016-02-26T16:46:00Z</cp:lastPrinted>
  <dcterms:created xsi:type="dcterms:W3CDTF">2019-06-20T08:10:00Z</dcterms:created>
  <dcterms:modified xsi:type="dcterms:W3CDTF">2019-06-20T08:10:00Z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0x01010099EE1F3EE40D4A0DB59DAABE24F1EF3200C3CE9501BE268C4FBC266829F932CA25</vt:lpwstr>
  </property>
</Properties>
</file>